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jc w:val="center"/>
      </w:pPr>
      <w:r>
        <w:rPr>
          <w:rFonts w:ascii="Arial" w:cs="Arial" w:eastAsia="Arial" w:hAnsi="Arial"/>
          <w:color w:val="6E6C80"/>
          <w:sz w:val="22"/>
          <w:szCs w:val="22"/>
        </w:rPr>
        <w:t xml:space="preserve">[CLIENT LOGO]</w:t>
      </w:r>
    </w:p>
    <w:p>
      <w:pPr>
        <w:spacing w:after="120"/>
        <w:jc w:val="center"/>
      </w:pPr>
      <w:r>
        <w:rPr>
          <w:rFonts w:ascii="Arial" w:cs="Arial" w:eastAsia="Arial" w:hAnsi="Arial"/>
          <w:b/>
          <w:bCs/>
          <w:color w:val="C63A26"/>
          <w:sz w:val="44"/>
          <w:szCs w:val="44"/>
        </w:rPr>
        <w:t xml:space="preserve">ENGAGEMENT FRAMEWORK</w:t>
      </w:r>
    </w:p>
    <w:p>
      <w:pPr>
        <w:spacing w:after="600"/>
        <w:jc w:val="center"/>
      </w:pPr>
      <w:r>
        <w:rPr>
          <w:rFonts w:ascii="Arial" w:cs="Arial" w:eastAsia="Arial" w:hAnsi="Arial"/>
          <w:color w:val="1B1A2B"/>
          <w:sz w:val="26"/>
          <w:szCs w:val="26"/>
        </w:rPr>
        <w:t xml:space="preserve">[CLIENT_NAME_FULL] and [VENDOR]</w:t>
      </w:r>
    </w:p>
    <w:p>
      <w:pPr>
        <w:spacing w:after="40"/>
        <w:jc w:val="center"/>
      </w:pPr>
      <w:r>
        <w:rPr>
          <w:rFonts w:ascii="Arial" w:cs="Arial" w:eastAsia="Arial" w:hAnsi="Arial"/>
          <w:b/>
          <w:bCs/>
          <w:color w:val="1B1A2B"/>
          <w:sz w:val="20"/>
          <w:szCs w:val="20"/>
        </w:rPr>
        <w:t xml:space="preserve">Prepared by</w:t>
      </w:r>
    </w:p>
    <w:p>
      <w:pPr>
        <w:spacing w:after="200"/>
        <w:jc w:val="center"/>
      </w:pPr>
      <w:r>
        <w:rPr>
          <w:rFonts w:ascii="Arial" w:cs="Arial" w:eastAsia="Arial" w:hAnsi="Arial"/>
          <w:b/>
          <w:bCs/>
          <w:color w:val="0F7A80"/>
          <w:sz w:val="20"/>
          <w:szCs w:val="20"/>
        </w:rPr>
        <w:t xml:space="preserve">[NAME], [TITLE], [VENDOR]</w:t>
      </w:r>
    </w:p>
    <w:p>
      <w:pPr>
        <w:spacing w:after="40"/>
        <w:jc w:val="center"/>
      </w:pPr>
      <w:r>
        <w:rPr>
          <w:rFonts w:ascii="Arial" w:cs="Arial" w:eastAsia="Arial" w:hAnsi="Arial"/>
          <w:b/>
          <w:bCs/>
          <w:color w:val="1B1A2B"/>
          <w:sz w:val="20"/>
          <w:szCs w:val="20"/>
        </w:rPr>
        <w:t xml:space="preserve">Last updated</w:t>
      </w:r>
    </w:p>
    <w:p>
      <w:pPr>
        <w:spacing w:after="200"/>
        <w:jc w:val="center"/>
      </w:pPr>
      <w:r>
        <w:rPr>
          <w:rFonts w:ascii="Arial" w:cs="Arial" w:eastAsia="Arial" w:hAnsi="Arial"/>
          <w:b/>
          <w:bCs/>
          <w:color w:val="0F7A80"/>
          <w:sz w:val="20"/>
          <w:szCs w:val="20"/>
        </w:rPr>
        <w:t xml:space="preserve">[DATE]</w:t>
      </w:r>
    </w:p>
    <w:p>
      <w:pPr>
        <w:spacing w:after="40"/>
        <w:jc w:val="center"/>
      </w:pPr>
      <w:r>
        <w:rPr>
          <w:rFonts w:ascii="Arial" w:cs="Arial" w:eastAsia="Arial" w:hAnsi="Arial"/>
          <w:b/>
          <w:bCs/>
          <w:color w:val="1B1A2B"/>
          <w:sz w:val="20"/>
          <w:szCs w:val="20"/>
        </w:rPr>
        <w:t xml:space="preserve">Reviewed</w:t>
      </w:r>
    </w:p>
    <w:p>
      <w:pPr>
        <w:spacing w:after="200"/>
        <w:jc w:val="center"/>
      </w:pPr>
      <w:r>
        <w:rPr>
          <w:rFonts w:ascii="Arial" w:cs="Arial" w:eastAsia="Arial" w:hAnsi="Arial"/>
          <w:b/>
          <w:bCs/>
          <w:color w:val="0F7A80"/>
          <w:sz w:val="20"/>
          <w:szCs w:val="20"/>
        </w:rPr>
        <w:t xml:space="preserve">Quarterly, at the Business Review</w:t>
      </w:r>
    </w:p>
    <w:p>
      <w:pPr>
        <w:spacing w:after="0" w:before="1800"/>
        <w:jc w:val="center"/>
      </w:pPr>
      <w:r>
        <w:rPr>
          <w:rFonts w:ascii="Arial" w:cs="Arial" w:eastAsia="Arial" w:hAnsi="Arial"/>
          <w:color w:val="6E6C80"/>
          <w:sz w:val="17"/>
          <w:szCs w:val="17"/>
        </w:rPr>
        <w:t xml:space="preserve">Template from The Engagement Framework · juan.co/playbooks · © Juan.co LLC · Free to use with attribution. Replace every [bracket]; delete this line.</w:t>
      </w:r>
    </w:p>
    <w:p>
      <w:r>
        <w:br w:type="page"/>
      </w:r>
    </w:p>
    <w:p>
      <w:pPr>
        <w:spacing w:after="200"/>
      </w:pPr>
      <w:r>
        <w:rPr>
          <w:rFonts w:ascii="Arial" w:cs="Arial" w:eastAsia="Arial" w:hAnsi="Arial"/>
          <w:b/>
          <w:bCs/>
          <w:color w:val="C63A26"/>
          <w:sz w:val="28"/>
          <w:szCs w:val="28"/>
        </w:rPr>
        <w:t xml:space="preserve">TABLE OF CONTENTS</w:t>
      </w:r>
    </w:p>
    <w:sdt>
      <w:sdtPr>
        <w:alias w:val="Contents"/>
      </w:sdtPr>
      <w:sdtContent>
        <w:p>
          <w:r>
            <w:fldChar w:fldCharType="begin" w:dirty="true"/>
            <w:instrText xml:space="preserve">TOC \h \o "1-2"</w:instrText>
            <w:fldChar w:fldCharType="separate"/>
          </w:r>
        </w:p>
        <w:p>
          <w:r>
            <w:fldChar w:fldCharType="end"/>
          </w:r>
        </w:p>
      </w:sdtContent>
    </w:sdt>
    <w:p>
      <w:r>
        <w:br w:type="page"/>
      </w:r>
    </w:p>
    <w:p>
      <w:pPr>
        <w:pStyle w:val="Heading1"/>
        <w:spacing w:after="160" w:before="360"/>
      </w:pPr>
      <w:r>
        <w:rPr>
          <w:rFonts w:ascii="Arial" w:cs="Arial" w:eastAsia="Arial" w:hAnsi="Arial"/>
          <w:b/>
          <w:bCs/>
          <w:color w:val="C63A26"/>
          <w:sz w:val="28"/>
          <w:szCs w:val="28"/>
        </w:rPr>
        <w:t xml:space="preserve">I. [VENDOR] Mission and Framework</w:t>
      </w:r>
    </w:p>
    <w:p>
      <w:pPr>
        <w:spacing w:after="120" w:line="300"/>
      </w:pPr>
      <w:r>
        <w:rPr>
          <w:rFonts w:ascii="Arial" w:cs="Arial" w:eastAsia="Arial" w:hAnsi="Arial"/>
          <w:color w:val="1B1A2B"/>
          <w:sz w:val="21"/>
          <w:szCs w:val="21"/>
        </w:rPr>
        <w:t xml:space="preserve">[VENDOR] continuously evolves alongside our customers and is focused on successful outcomes. Our imperative is to partner effectively and efficiently with [CLIENT_NAME_FULL] to ensure you continually realize the anticipated benefits from your investment in [VENDOR]. There are service level descriptions in this framework that [VENDOR] is still in the process of achieving; we are transparent by providing our goals and estimated timeline while working in a spirit of collaborative partnership to hold one another accountable to them.</w:t>
      </w:r>
    </w:p>
    <w:p>
      <w:pPr>
        <w:pStyle w:val="Heading2"/>
        <w:spacing w:after="120" w:before="240"/>
      </w:pPr>
      <w:r>
        <w:rPr>
          <w:rFonts w:ascii="Arial" w:cs="Arial" w:eastAsia="Arial" w:hAnsi="Arial"/>
          <w:b/>
          <w:bCs/>
          <w:color w:val="1B1A2B"/>
          <w:sz w:val="23"/>
          <w:szCs w:val="23"/>
        </w:rPr>
        <w:t xml:space="preserve">[VENDOR]'s Mission</w:t>
      </w:r>
    </w:p>
    <w:p>
      <w:pPr>
        <w:pStyle w:val="ListParagraph"/>
        <w:numPr>
          <w:ilvl w:val="0"/>
          <w:numId w:val="2"/>
        </w:numPr>
        <w:spacing w:after="60" w:line="280"/>
      </w:pPr>
      <w:r>
        <w:rPr>
          <w:rFonts w:ascii="Arial" w:cs="Arial" w:eastAsia="Arial" w:hAnsi="Arial"/>
          <w:color w:val="1B1A2B"/>
          <w:sz w:val="21"/>
          <w:szCs w:val="21"/>
        </w:rPr>
        <w:t xml:space="preserve">[Mission line one — what the company does, in one sentence.]</w:t>
      </w:r>
    </w:p>
    <w:p>
      <w:pPr>
        <w:pStyle w:val="ListParagraph"/>
        <w:numPr>
          <w:ilvl w:val="0"/>
          <w:numId w:val="2"/>
        </w:numPr>
        <w:spacing w:after="60" w:line="280"/>
      </w:pPr>
      <w:r>
        <w:rPr>
          <w:rFonts w:ascii="Arial" w:cs="Arial" w:eastAsia="Arial" w:hAnsi="Arial"/>
          <w:color w:val="1B1A2B"/>
          <w:sz w:val="21"/>
          <w:szCs w:val="21"/>
        </w:rPr>
        <w:t xml:space="preserve">[Mission line two — how, and for whom.]</w:t>
      </w:r>
    </w:p>
    <w:p>
      <w:pPr>
        <w:pStyle w:val="ListParagraph"/>
        <w:numPr>
          <w:ilvl w:val="0"/>
          <w:numId w:val="2"/>
        </w:numPr>
        <w:spacing w:after="60" w:line="280"/>
      </w:pPr>
      <w:r>
        <w:rPr>
          <w:rFonts w:ascii="Arial" w:cs="Arial" w:eastAsia="Arial" w:hAnsi="Arial"/>
          <w:color w:val="1B1A2B"/>
          <w:sz w:val="21"/>
          <w:szCs w:val="21"/>
        </w:rPr>
        <w:t xml:space="preserve">[Mission line three — the experience everyone who touches the company should have.]</w:t>
      </w:r>
    </w:p>
    <w:p>
      <w:pPr>
        <w:spacing w:after="120" w:line="300"/>
      </w:pPr>
      <w:r>
        <w:rPr>
          <w:rFonts w:ascii="Arial" w:cs="Arial" w:eastAsia="Arial" w:hAnsi="Arial"/>
          <w:color w:val="1B1A2B"/>
          <w:sz w:val="21"/>
          <w:szCs w:val="21"/>
        </w:rPr>
        <w:t xml:space="preserve">The [VENDOR] Framework outlines our approach to working with [CLIENT_NAME_FULL], and is referenced throughout this document. It consists of five core components:</w:t>
      </w:r>
    </w:p>
    <w:p>
      <w:pPr>
        <w:pStyle w:val="ListParagraph"/>
        <w:numPr>
          <w:ilvl w:val="0"/>
          <w:numId w:val="3"/>
        </w:numPr>
        <w:spacing w:after="80" w:line="280"/>
      </w:pPr>
      <w:r>
        <w:rPr>
          <w:rFonts w:ascii="Arial" w:cs="Arial" w:eastAsia="Arial" w:hAnsi="Arial"/>
          <w:color w:val="1B1A2B"/>
          <w:sz w:val="21"/>
          <w:szCs w:val="21"/>
        </w:rPr>
        <w:t xml:space="preserve">Account Management — sales and business development, roadmap alignment, strategic expansion, contracting and invoicing.</w:t>
      </w:r>
    </w:p>
    <w:p>
      <w:pPr>
        <w:pStyle w:val="ListParagraph"/>
        <w:numPr>
          <w:ilvl w:val="0"/>
          <w:numId w:val="3"/>
        </w:numPr>
        <w:spacing w:after="80" w:line="280"/>
      </w:pPr>
      <w:r>
        <w:rPr>
          <w:rFonts w:ascii="Arial" w:cs="Arial" w:eastAsia="Arial" w:hAnsi="Arial"/>
          <w:color w:val="1B1A2B"/>
          <w:sz w:val="21"/>
          <w:szCs w:val="21"/>
        </w:rPr>
        <w:t xml:space="preserve">The Customer Success Executive — one operating executive (the CSE) who executes a strong, unified customer experience across the entire [VENDOR] organization.</w:t>
      </w:r>
    </w:p>
    <w:p>
      <w:pPr>
        <w:pStyle w:val="ListParagraph"/>
        <w:numPr>
          <w:ilvl w:val="0"/>
          <w:numId w:val="3"/>
        </w:numPr>
        <w:spacing w:after="80" w:line="280"/>
      </w:pPr>
      <w:r>
        <w:rPr>
          <w:rFonts w:ascii="Arial" w:cs="Arial" w:eastAsia="Arial" w:hAnsi="Arial"/>
          <w:color w:val="1B1A2B"/>
          <w:sz w:val="21"/>
          <w:szCs w:val="21"/>
        </w:rPr>
        <w:t xml:space="preserve">Success Management — the four plays (the Feedback Cycle, Business Reviews, Adoption Workshops, Success Initiatives) and business consulting: objectives prioritized, impact measured, maturity modeled, success tracked.</w:t>
      </w:r>
    </w:p>
    <w:p>
      <w:pPr>
        <w:pStyle w:val="ListParagraph"/>
        <w:numPr>
          <w:ilvl w:val="0"/>
          <w:numId w:val="3"/>
        </w:numPr>
        <w:spacing w:after="80" w:line="280"/>
      </w:pPr>
      <w:r>
        <w:rPr>
          <w:rFonts w:ascii="Arial" w:cs="Arial" w:eastAsia="Arial" w:hAnsi="Arial"/>
          <w:color w:val="1B1A2B"/>
          <w:sz w:val="21"/>
          <w:szCs w:val="21"/>
        </w:rPr>
        <w:t xml:space="preserve">Customer Support — a scalable support model, grounded in insights and focused on quality.</w:t>
      </w:r>
    </w:p>
    <w:p>
      <w:pPr>
        <w:pStyle w:val="ListParagraph"/>
        <w:numPr>
          <w:ilvl w:val="0"/>
          <w:numId w:val="3"/>
        </w:numPr>
        <w:spacing w:after="80" w:line="280"/>
      </w:pPr>
      <w:r>
        <w:rPr>
          <w:rFonts w:ascii="Arial" w:cs="Arial" w:eastAsia="Arial" w:hAnsi="Arial"/>
          <w:color w:val="1B1A2B"/>
          <w:sz w:val="21"/>
          <w:szCs w:val="21"/>
        </w:rPr>
        <w:t xml:space="preserve">Professional Services — advanced configuration, customization, integration, and custom development, delivered through projects and programs.</w:t>
      </w:r>
    </w:p>
    <w:p>
      <w:r>
        <w:br w:type="page"/>
      </w:r>
    </w:p>
    <w:p>
      <w:pPr>
        <w:pStyle w:val="Heading1"/>
        <w:spacing w:after="160" w:before="360"/>
      </w:pPr>
      <w:r>
        <w:rPr>
          <w:rFonts w:ascii="Arial" w:cs="Arial" w:eastAsia="Arial" w:hAnsi="Arial"/>
          <w:b/>
          <w:bCs/>
          <w:color w:val="C63A26"/>
          <w:sz w:val="28"/>
          <w:szCs w:val="28"/>
        </w:rPr>
        <w:t xml:space="preserve">II. [CLIENT_NAME_FULL] Business Priorities</w:t>
      </w:r>
    </w:p>
    <w:p>
      <w:pPr>
        <w:spacing w:after="120" w:line="300"/>
      </w:pPr>
      <w:r>
        <w:rPr>
          <w:rFonts w:ascii="Arial" w:cs="Arial" w:eastAsia="Arial" w:hAnsi="Arial"/>
          <w:color w:val="1B1A2B"/>
          <w:sz w:val="21"/>
          <w:szCs w:val="21"/>
        </w:rPr>
        <w:t xml:space="preserve">As [VENDOR] develops our products and services, we are incorporating [CLIENT_NAME_SHORT]'s key priorities accordingly. We understand the following major themes for [CLIENT_NAME_SHORT]'s business partnership with [VENDOR] in [YEAR] as summarized below.</w:t>
      </w:r>
    </w:p>
    <w:p>
      <w:pPr>
        <w:pBdr>
          <w:left w:val="single" w:color="0F7A80" w:sz="18" w:space="8"/>
        </w:pBdr>
        <w:shd w:fill="E8F1F0" w:color="E8F1F0" w:val="clear"/>
        <w:spacing w:after="120" w:line="280"/>
        <w:ind w:left="120"/>
      </w:pPr>
      <w:r>
        <w:rPr>
          <w:rFonts w:ascii="Arial" w:cs="Arial" w:eastAsia="Arial" w:hAnsi="Arial"/>
          <w:i/>
          <w:iCs/>
          <w:color w:val="6E6C80"/>
          <w:sz w:val="19"/>
          <w:szCs w:val="19"/>
        </w:rPr>
        <w:t xml:space="preserve">Write this table with the customer in the room, in their words. Four or five rows. Revisit it first at every Business Review.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200"/>
        <w:gridCol w:w="4160"/>
      </w:tblGrid>
      <w:tr>
        <w:trPr>
          <w:tblHeader/>
        </w:trPr>
        <w:tc>
          <w:tcPr>
            <w:tcW w:type="dxa" w:w="520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Challenges</w:t>
            </w:r>
          </w:p>
        </w:tc>
        <w:tc>
          <w:tcPr>
            <w:tcW w:type="dxa" w:w="416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Opportunities in the Framework</w:t>
            </w:r>
          </w:p>
        </w:tc>
      </w:tr>
      <w:tr>
        <w:trPr>
          <w:tblHeader w:val="off"/>
        </w:trPr>
        <w:tc>
          <w:tcPr>
            <w:tcW w:type="dxa" w:w="520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[Priority one, in the customer's words]</w:t>
            </w:r>
          </w:p>
        </w:tc>
        <w:tc>
          <w:tcPr>
            <w:tcW w:type="dxa" w:w="41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[Components that answer it — e.g. Success Management, Customer Support, Professional Services]</w:t>
            </w:r>
          </w:p>
        </w:tc>
      </w:tr>
      <w:tr>
        <w:trPr>
          <w:tblHeader w:val="off"/>
        </w:trPr>
        <w:tc>
          <w:tcPr>
            <w:tcW w:type="dxa" w:w="520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[Priority two]</w:t>
            </w:r>
          </w:p>
        </w:tc>
        <w:tc>
          <w:tcPr>
            <w:tcW w:type="dxa" w:w="41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[Components]</w:t>
            </w:r>
          </w:p>
        </w:tc>
      </w:tr>
      <w:tr>
        <w:trPr>
          <w:tblHeader w:val="off"/>
        </w:trPr>
        <w:tc>
          <w:tcPr>
            <w:tcW w:type="dxa" w:w="520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[Priority three]</w:t>
            </w:r>
          </w:p>
        </w:tc>
        <w:tc>
          <w:tcPr>
            <w:tcW w:type="dxa" w:w="41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[Components]</w:t>
            </w:r>
          </w:p>
        </w:tc>
      </w:tr>
      <w:tr>
        <w:trPr>
          <w:tblHeader w:val="off"/>
        </w:trPr>
        <w:tc>
          <w:tcPr>
            <w:tcW w:type="dxa" w:w="520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[Priority four]</w:t>
            </w:r>
          </w:p>
        </w:tc>
        <w:tc>
          <w:tcPr>
            <w:tcW w:type="dxa" w:w="41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[Components]</w:t>
            </w:r>
          </w:p>
        </w:tc>
      </w:tr>
    </w:tbl>
    <w:p>
      <w:pPr>
        <w:spacing w:after="120"/>
      </w:pPr>
    </w:p>
    <w:p>
      <w:pPr>
        <w:pStyle w:val="Heading1"/>
        <w:spacing w:after="160" w:before="360"/>
      </w:pPr>
      <w:r>
        <w:rPr>
          <w:rFonts w:ascii="Arial" w:cs="Arial" w:eastAsia="Arial" w:hAnsi="Arial"/>
          <w:b/>
          <w:bCs/>
          <w:color w:val="C63A26"/>
          <w:sz w:val="28"/>
          <w:szCs w:val="28"/>
        </w:rPr>
        <w:t xml:space="preserve">III. Account Management</w:t>
      </w:r>
    </w:p>
    <w:p>
      <w:pPr>
        <w:pStyle w:val="Heading2"/>
        <w:spacing w:after="120" w:before="240"/>
      </w:pPr>
      <w:r>
        <w:rPr>
          <w:rFonts w:ascii="Arial" w:cs="Arial" w:eastAsia="Arial" w:hAnsi="Arial"/>
          <w:b/>
          <w:bCs/>
          <w:color w:val="1B1A2B"/>
          <w:sz w:val="23"/>
          <w:szCs w:val="23"/>
        </w:rPr>
        <w:t xml:space="preserve">[VENDOR] – [CLIENT_NAME_FULL] Account Management Team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53"/>
        <w:gridCol w:w="2553"/>
        <w:gridCol w:w="2553"/>
        <w:gridCol w:w="1702"/>
      </w:tblGrid>
      <w:tr>
        <w:trPr>
          <w:tblHeader/>
        </w:trPr>
        <w:tc>
          <w:tcPr>
            <w:tcW w:type="dxa" w:w="2553"/>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Name</w:t>
            </w:r>
          </w:p>
        </w:tc>
        <w:tc>
          <w:tcPr>
            <w:tcW w:type="dxa" w:w="2553"/>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Primary Role</w:t>
            </w:r>
          </w:p>
        </w:tc>
        <w:tc>
          <w:tcPr>
            <w:tcW w:type="dxa" w:w="2553"/>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Email</w:t>
            </w:r>
          </w:p>
        </w:tc>
        <w:tc>
          <w:tcPr>
            <w:tcW w:type="dxa" w:w="1702"/>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Phone</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bl>
    <w:p>
      <w:pPr>
        <w:spacing w:after="120"/>
      </w:pPr>
    </w:p>
    <w:p>
      <w:pPr>
        <w:pStyle w:val="Heading2"/>
        <w:spacing w:after="120" w:before="240"/>
      </w:pPr>
      <w:r>
        <w:rPr>
          <w:rFonts w:ascii="Arial" w:cs="Arial" w:eastAsia="Arial" w:hAnsi="Arial"/>
          <w:b/>
          <w:bCs/>
          <w:color w:val="1B1A2B"/>
          <w:sz w:val="23"/>
          <w:szCs w:val="23"/>
        </w:rPr>
        <w:t xml:space="preserve">[CLIENT_NAME_FULL] – [VENDOR] Engagement Team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53"/>
        <w:gridCol w:w="2553"/>
        <w:gridCol w:w="1702"/>
        <w:gridCol w:w="2553"/>
      </w:tblGrid>
      <w:tr>
        <w:trPr>
          <w:tblHeader/>
        </w:trPr>
        <w:tc>
          <w:tcPr>
            <w:tcW w:type="dxa" w:w="2553"/>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Name</w:t>
            </w:r>
          </w:p>
        </w:tc>
        <w:tc>
          <w:tcPr>
            <w:tcW w:type="dxa" w:w="2553"/>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Email</w:t>
            </w:r>
          </w:p>
        </w:tc>
        <w:tc>
          <w:tcPr>
            <w:tcW w:type="dxa" w:w="1702"/>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Phone</w:t>
            </w:r>
          </w:p>
        </w:tc>
        <w:tc>
          <w:tcPr>
            <w:tcW w:type="dxa" w:w="2553"/>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[VENDOR] Peer(s)</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bl>
    <w:p>
      <w:pPr>
        <w:spacing w:after="120"/>
      </w:pPr>
    </w:p>
    <w:p>
      <w:pPr>
        <w:pStyle w:val="Heading2"/>
        <w:spacing w:after="120" w:before="240"/>
      </w:pPr>
      <w:r>
        <w:rPr>
          <w:rFonts w:ascii="Arial" w:cs="Arial" w:eastAsia="Arial" w:hAnsi="Arial"/>
          <w:b/>
          <w:bCs/>
          <w:color w:val="1B1A2B"/>
          <w:sz w:val="23"/>
          <w:szCs w:val="23"/>
        </w:rPr>
        <w:t xml:space="preserve">[CLIENT_NAME_FULL] – Business Owners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53"/>
        <w:gridCol w:w="2553"/>
        <w:gridCol w:w="1702"/>
        <w:gridCol w:w="2553"/>
      </w:tblGrid>
      <w:tr>
        <w:trPr>
          <w:tblHeader/>
        </w:trPr>
        <w:tc>
          <w:tcPr>
            <w:tcW w:type="dxa" w:w="2553"/>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Name</w:t>
            </w:r>
          </w:p>
        </w:tc>
        <w:tc>
          <w:tcPr>
            <w:tcW w:type="dxa" w:w="2553"/>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Email</w:t>
            </w:r>
          </w:p>
        </w:tc>
        <w:tc>
          <w:tcPr>
            <w:tcW w:type="dxa" w:w="1702"/>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Phone</w:t>
            </w:r>
          </w:p>
        </w:tc>
        <w:tc>
          <w:tcPr>
            <w:tcW w:type="dxa" w:w="2553"/>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[VENDOR] Peer(s)</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r>
        <w:trPr>
          <w:tblHeader w:val="off"/>
        </w:trPr>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1702"/>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c>
          <w:tcPr>
            <w:tcW w:type="dxa" w:w="2553"/>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 </w:t>
            </w:r>
          </w:p>
        </w:tc>
      </w:tr>
    </w:tbl>
    <w:p>
      <w:pPr>
        <w:pBdr>
          <w:left w:val="single" w:color="0F7A80" w:sz="18" w:space="8"/>
        </w:pBdr>
        <w:shd w:fill="E8F1F0" w:color="E8F1F0" w:val="clear"/>
        <w:spacing w:after="120" w:line="280"/>
        <w:ind w:left="120"/>
      </w:pPr>
      <w:r>
        <w:rPr>
          <w:rFonts w:ascii="Arial" w:cs="Arial" w:eastAsia="Arial" w:hAnsi="Arial"/>
          <w:i/>
          <w:iCs/>
          <w:color w:val="6E6C80"/>
          <w:sz w:val="19"/>
          <w:szCs w:val="19"/>
        </w:rPr>
        <w:t xml:space="preserve">Every name on the customer's side has a named peer on the vendor's side. If a row cannot be filled, the framework has found a gap — fill the role before the review.</w:t>
      </w:r>
    </w:p>
    <w:p>
      <w:r>
        <w:br w:type="page"/>
      </w:r>
    </w:p>
    <w:p>
      <w:pPr>
        <w:pStyle w:val="Heading1"/>
        <w:spacing w:after="160" w:before="360"/>
      </w:pPr>
      <w:r>
        <w:rPr>
          <w:rFonts w:ascii="Arial" w:cs="Arial" w:eastAsia="Arial" w:hAnsi="Arial"/>
          <w:b/>
          <w:bCs/>
          <w:color w:val="C63A26"/>
          <w:sz w:val="28"/>
          <w:szCs w:val="28"/>
        </w:rPr>
        <w:t xml:space="preserve">IV. The Customer Success Executive</w:t>
      </w:r>
    </w:p>
    <w:p>
      <w:pPr>
        <w:spacing w:after="120" w:line="300"/>
      </w:pPr>
      <w:r>
        <w:rPr>
          <w:rFonts w:ascii="Arial" w:cs="Arial" w:eastAsia="Arial" w:hAnsi="Arial"/>
          <w:color w:val="1B1A2B"/>
          <w:sz w:val="21"/>
          <w:szCs w:val="21"/>
        </w:rPr>
        <w:t xml:space="preserve">While the [VENDOR] Account Management team is focused on the commercial relationship with [CLIENT_NAME_FULL] — business development, roadmap alignment, strategic expansion, contracting and invoicing — the Customer Success Executive (CSE) is the operating executive for the partnership, responsible for a unified customer experience across the entire [VENDOR] organization. The primary charge of the CSE is to provide alignment, transparency, and visibility to the entire [CLIENT_NAME_SHORT] team.</w:t>
      </w:r>
    </w:p>
    <w:p>
      <w:pPr>
        <w:spacing w:after="120" w:line="300"/>
      </w:pPr>
      <w:r>
        <w:rPr>
          <w:rFonts w:ascii="Arial" w:cs="Arial" w:eastAsia="Arial" w:hAnsi="Arial"/>
          <w:color w:val="1B1A2B"/>
          <w:sz w:val="21"/>
          <w:szCs w:val="21"/>
        </w:rPr>
        <w:t xml:space="preserve">Three divisions report through the CSE for this account: Customer Support, Success Management, and Professional Services. The CSE governs their programs and processes, coordinates and provides direct oversight of the team, and presides over the continued care and improvement of this framework. Executive sponsors — C-level, executive, and functional leadership on both sides — peer beyond the engagement and provide air cover for the day-to-day.</w:t>
      </w:r>
    </w:p>
    <w:p>
      <w:pPr>
        <w:pStyle w:val="Heading2"/>
        <w:spacing w:after="120" w:before="240"/>
      </w:pPr>
      <w:r>
        <w:rPr>
          <w:rFonts w:ascii="Arial" w:cs="Arial" w:eastAsia="Arial" w:hAnsi="Arial"/>
          <w:b/>
          <w:bCs/>
          <w:color w:val="1B1A2B"/>
          <w:sz w:val="23"/>
          <w:szCs w:val="23"/>
        </w:rPr>
        <w:t xml:space="preserve">Customer Success Executive — working side by side to ensure success</w:t>
      </w:r>
    </w:p>
    <w:p>
      <w:pPr>
        <w:spacing w:after="120" w:line="300"/>
      </w:pPr>
      <w:r>
        <w:rPr>
          <w:rFonts w:ascii="Arial" w:cs="Arial" w:eastAsia="Arial" w:hAnsi="Arial"/>
          <w:b/>
          <w:bCs/>
          <w:color w:val="1B1A2B"/>
          <w:sz w:val="21"/>
          <w:szCs w:val="21"/>
        </w:rPr>
        <w:t xml:space="preserve">Customer Success Executive: </w:t>
      </w:r>
      <w:r>
        <w:rPr>
          <w:rFonts w:ascii="Arial" w:cs="Arial" w:eastAsia="Arial" w:hAnsi="Arial"/>
          <w:b/>
          <w:bCs/>
          <w:color w:val="0F7A80"/>
          <w:sz w:val="21"/>
          <w:szCs w:val="21"/>
        </w:rPr>
        <w:t xml:space="preserve">[NAME]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Customer Support</w:t>
            </w:r>
          </w:p>
        </w:tc>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Success Management</w:t>
            </w:r>
          </w:p>
        </w:tc>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Professional Services</w:t>
            </w:r>
          </w:p>
        </w:tc>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Account Management</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Errors, standard configuration, and administration. User support and training. Main line of communication to product for issues.</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The four plays: the Feedback Cycle, Business Reviews, Adoption Workshops, Success Initiatives. Business consulting.</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Advanced configuration, customization, integration, and enhancement. Projects and programs. Custom development.</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Sales and business development. Roadmap alignment. Strategic expansion across new and existing business units. Contracting and invoicing.</w:t>
            </w:r>
          </w:p>
        </w:tc>
      </w:tr>
    </w:tbl>
    <w:p>
      <w:pPr>
        <w:spacing w:after="120"/>
      </w:pPr>
    </w:p>
    <w:p>
      <w:pPr>
        <w:spacing w:after="120" w:line="300"/>
      </w:pPr>
      <w:r>
        <w:rPr>
          <w:rFonts w:ascii="Arial" w:cs="Arial" w:eastAsia="Arial" w:hAnsi="Arial"/>
          <w:color w:val="1B1A2B"/>
          <w:sz w:val="21"/>
          <w:szCs w:val="21"/>
        </w:rPr>
        <w:t xml:space="preserve">The Customer Success Executive advocates for [CLIENT_NAME_SHORT]'s business, strategic, and technical needs inside the [VENDOR] organization, sharing timely and relevant feedback as appropriate. In order to collaborate effectively on behalf of [CLIENT_NAME_FULL] across [VENDOR] departments to identify accurate solutions to [CLIENT_NAME_SHORT]'s challenges, the CSE serves at the heart of the [VENDOR] organization as operating executive, presiding over our partnership.</w:t>
      </w:r>
    </w:p>
    <w:p>
      <w:pPr>
        <w:pStyle w:val="Heading2"/>
        <w:spacing w:after="120" w:before="240"/>
      </w:pPr>
      <w:r>
        <w:rPr>
          <w:rFonts w:ascii="Arial" w:cs="Arial" w:eastAsia="Arial" w:hAnsi="Arial"/>
          <w:b/>
          <w:bCs/>
          <w:color w:val="1B1A2B"/>
          <w:sz w:val="23"/>
          <w:szCs w:val="23"/>
        </w:rPr>
        <w:t xml:space="preserve">Escalation Paths</w:t>
      </w:r>
    </w:p>
    <w:p>
      <w:pPr>
        <w:spacing w:after="120" w:line="300"/>
      </w:pPr>
      <w:r>
        <w:rPr>
          <w:rFonts w:ascii="Arial" w:cs="Arial" w:eastAsia="Arial" w:hAnsi="Arial"/>
          <w:color w:val="1B1A2B"/>
          <w:sz w:val="21"/>
          <w:szCs w:val="21"/>
        </w:rPr>
        <w:t xml:space="preserve">The processes below have simplified escalation paths designed to ensure that [CLIENT_NAME_FULL] is clear on who is responsible for addressing an escalation and is accountable for resolving issues, questions, or concerns that are elevated beyond the individual program track or project team.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Track</w:t>
            </w:r>
          </w:p>
        </w:tc>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First escalation</w:t>
            </w:r>
          </w:p>
        </w:tc>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Second escalation</w:t>
            </w:r>
          </w:p>
        </w:tc>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Executive sponsor</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Support</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[Primary analyst]</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Success Executive]</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[VP, Customer Success]</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Success Management</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[Success manager]</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Success Executive]</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[VP, Customer Success]</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Professional Services</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[Project manager]</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[Program manager → CSE]</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[VP, Professional Services]</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Account Management</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[Account executive]</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Success Executive]</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[Executive sponsor]</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Product / roadmap</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Success Executive]</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[Product director]</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[CTO]</w:t>
            </w:r>
          </w:p>
        </w:tc>
      </w:tr>
    </w:tbl>
    <w:p>
      <w:pPr>
        <w:spacing w:after="120"/>
      </w:pPr>
    </w:p>
    <w:p>
      <w:pPr>
        <w:pStyle w:val="Heading2"/>
        <w:spacing w:after="120" w:before="240"/>
      </w:pPr>
      <w:r>
        <w:rPr>
          <w:rFonts w:ascii="Arial" w:cs="Arial" w:eastAsia="Arial" w:hAnsi="Arial"/>
          <w:b/>
          <w:bCs/>
          <w:color w:val="1B1A2B"/>
          <w:sz w:val="23"/>
          <w:szCs w:val="23"/>
        </w:rPr>
        <w:t xml:space="preserve">Organization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Executive sponsors</w:t>
            </w:r>
          </w:p>
        </w:tc>
        <w:tc>
          <w:tcPr>
            <w:tcW w:type="dxa" w:w="312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Customer Success Executive</w:t>
            </w:r>
          </w:p>
        </w:tc>
        <w:tc>
          <w:tcPr>
            <w:tcW w:type="dxa" w:w="312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Divisions</w:t>
            </w:r>
          </w:p>
        </w:tc>
      </w:tr>
      <w:tr>
        <w:trPr>
          <w:tblHeader w:val="off"/>
        </w:trPr>
        <w:tc>
          <w:tcPr>
            <w:tcW w:type="dxa" w:w="31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[NAME], [TITLE] · [NAME], [TITLE]</w:t>
            </w:r>
          </w:p>
        </w:tc>
        <w:tc>
          <w:tcPr>
            <w:tcW w:type="dxa" w:w="31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[NAME], Customer Success Executive</w:t>
            </w:r>
          </w:p>
        </w:tc>
        <w:tc>
          <w:tcPr>
            <w:tcW w:type="dxa" w:w="31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Support: [primary analyst], [secondary analysts] · Success Management: [success managers] · Professional Services: [program manager], [project managers]</w:t>
            </w:r>
          </w:p>
        </w:tc>
      </w:tr>
    </w:tbl>
    <w:p>
      <w:pPr>
        <w:spacing w:after="120"/>
      </w:pPr>
    </w:p>
    <w:p>
      <w:pPr>
        <w:spacing w:after="120" w:line="300"/>
      </w:pPr>
      <w:r>
        <w:rPr>
          <w:rFonts w:ascii="Arial" w:cs="Arial" w:eastAsia="Arial" w:hAnsi="Arial"/>
          <w:color w:val="1B1A2B"/>
          <w:sz w:val="21"/>
          <w:szCs w:val="21"/>
        </w:rPr>
        <w:t xml:space="preserve">Note: Professional Services also manages Solutions Architecture (with Business Analysis), Data Engineering, and Quality Assurance programs.</w:t>
      </w:r>
    </w:p>
    <w:p>
      <w:pPr>
        <w:pStyle w:val="Heading2"/>
        <w:spacing w:after="120" w:before="240"/>
      </w:pPr>
      <w:r>
        <w:rPr>
          <w:rFonts w:ascii="Arial" w:cs="Arial" w:eastAsia="Arial" w:hAnsi="Arial"/>
          <w:b/>
          <w:bCs/>
          <w:color w:val="1B1A2B"/>
          <w:sz w:val="23"/>
          <w:szCs w:val="23"/>
        </w:rPr>
        <w:t xml:space="preserve">Standing Meetings</w:t>
      </w:r>
    </w:p>
    <w:p>
      <w:pPr>
        <w:spacing w:after="120" w:line="300"/>
      </w:pPr>
      <w:r>
        <w:rPr>
          <w:rFonts w:ascii="Arial" w:cs="Arial" w:eastAsia="Arial" w:hAnsi="Arial"/>
          <w:color w:val="1B1A2B"/>
          <w:sz w:val="21"/>
          <w:szCs w:val="21"/>
        </w:rPr>
        <w:t xml:space="preserve">The Customer Success Executive participates and collaborates in all partnership meetings between [VENDOR] and [CLIENT_NAME_FULL], including but not limited to the following meeting cadence.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5460"/>
        <w:gridCol w:w="1560"/>
      </w:tblGrid>
      <w:tr>
        <w:trPr>
          <w:tblHeader/>
        </w:trPr>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Meeting</w:t>
            </w:r>
          </w:p>
        </w:tc>
        <w:tc>
          <w:tcPr>
            <w:tcW w:type="dxa" w:w="546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Purpose</w:t>
            </w:r>
          </w:p>
        </w:tc>
        <w:tc>
          <w:tcPr>
            <w:tcW w:type="dxa" w:w="156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Frequency</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Account Tracking</w:t>
            </w:r>
          </w:p>
        </w:tc>
        <w:tc>
          <w:tcPr>
            <w:tcW w:type="dxa" w:w="54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Proactive management of issues and feedback; review of active projects and initiatives; the major strategic programs and tracks of work. Reporting on all three.</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Weekly</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Product Update</w:t>
            </w:r>
          </w:p>
        </w:tc>
        <w:tc>
          <w:tcPr>
            <w:tcW w:type="dxa" w:w="54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Proactive communications connected to releases, known issues, outages, and maintenance.</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Per release, and as required</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Support</w:t>
            </w:r>
          </w:p>
        </w:tc>
        <w:tc>
          <w:tcPr>
            <w:tcW w:type="dxa" w:w="54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Review of open support cases and feedback; status and steps to resolution; opportunities for relevant escalation and timely resolution.</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Weekly</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Business Review</w:t>
            </w:r>
          </w:p>
        </w:tc>
        <w:tc>
          <w:tcPr>
            <w:tcW w:type="dxa" w:w="54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Review and update the Engagement Framework and the Partnership Maturity Model, including business, operations, and executive owners.</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Quarterly (in person)</w:t>
            </w:r>
          </w:p>
        </w:tc>
      </w:tr>
    </w:tbl>
    <w:p>
      <w:r>
        <w:br w:type="page"/>
      </w:r>
    </w:p>
    <w:p>
      <w:pPr>
        <w:pStyle w:val="Heading1"/>
        <w:spacing w:after="160" w:before="360"/>
      </w:pPr>
      <w:r>
        <w:rPr>
          <w:rFonts w:ascii="Arial" w:cs="Arial" w:eastAsia="Arial" w:hAnsi="Arial"/>
          <w:b/>
          <w:bCs/>
          <w:color w:val="C63A26"/>
          <w:sz w:val="28"/>
          <w:szCs w:val="28"/>
        </w:rPr>
        <w:t xml:space="preserve">V. Success Management</w:t>
      </w:r>
    </w:p>
    <w:p>
      <w:pPr>
        <w:spacing w:after="120" w:line="300"/>
      </w:pPr>
      <w:r>
        <w:rPr>
          <w:rFonts w:ascii="Arial" w:cs="Arial" w:eastAsia="Arial" w:hAnsi="Arial"/>
          <w:color w:val="1B1A2B"/>
          <w:sz w:val="21"/>
          <w:szCs w:val="21"/>
        </w:rPr>
        <w:t xml:space="preserve">Success Management runs the four plays for [CLIENT_NAME_FULL] — the Feedback Cycle, Business Reviews, Adoption Workshops, and Success Initiatives — and provides business consulting across them. Success Manager: [NAME].</w:t>
      </w:r>
    </w:p>
    <w:p>
      <w:pPr>
        <w:spacing w:after="120" w:line="300"/>
      </w:pPr>
      <w:r>
        <w:rPr>
          <w:rFonts w:ascii="Arial" w:cs="Arial" w:eastAsia="Arial" w:hAnsi="Arial"/>
          <w:color w:val="1B1A2B"/>
          <w:sz w:val="21"/>
          <w:szCs w:val="21"/>
        </w:rPr>
        <w:t xml:space="preserve">During our Business Review meetings with the [CLIENT_NAME_FULL] team, [VENDOR] evaluates our relationship across several key strategic dimensions that describe both the breadth of our collaboration and the depth of our impact. The Customer Success Executive is responsible for presenting and coordinating with both companies to ensure proper representation of views while capturing feedback and escalations that can lead to an increased frequency focused on one of these areas.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4680"/>
        <w:gridCol w:w="2340"/>
      </w:tblGrid>
      <w:tr>
        <w:trPr>
          <w:tblHeader/>
        </w:trPr>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Partnership Evaluation</w:t>
            </w:r>
          </w:p>
        </w:tc>
        <w:tc>
          <w:tcPr>
            <w:tcW w:type="dxa" w:w="468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Analysis</w:t>
            </w:r>
          </w:p>
        </w:tc>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Examples</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Strategic Alignment</w:t>
            </w:r>
          </w:p>
        </w:tc>
        <w:tc>
          <w:tcPr>
            <w:tcW w:type="dxa" w:w="468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What are the key business strategies, acquisitions, and/or changes in the business? How does [VENDOR] work directly with the [CLIENT_NAME_SHORT] team to ensure alignment?</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[Acquisitions, CRM implementation, mobile]</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Business Impact</w:t>
            </w:r>
          </w:p>
        </w:tc>
        <w:tc>
          <w:tcPr>
            <w:tcW w:type="dxa" w:w="468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What changes are happening in the business that will require technology solutions and where are the gaps? Discuss future opportunities and challenges impacting your business process.</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[Sales productivity, recruiting efficiency, vendor integration]</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Roadmap Synergy</w:t>
            </w:r>
          </w:p>
        </w:tc>
        <w:tc>
          <w:tcPr>
            <w:tcW w:type="dxa" w:w="468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Standardize monthly reviews of recent roadmap changes. Align themes across both organizations. Collect feedback and requests from [CLIENT_NAME_SHORT]'s team and provide feedback to identify common threads that influence the roadmap.</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[Product evaluations, beta participation, pilot phases]</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Solution Adoption</w:t>
            </w:r>
          </w:p>
        </w:tc>
        <w:tc>
          <w:tcPr>
            <w:tcW w:type="dxa" w:w="468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Review of application usage and platform metrics to identify trends and next steps.</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[Learning and development, workflow optimization]</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Support Quality</w:t>
            </w:r>
          </w:p>
        </w:tc>
        <w:tc>
          <w:tcPr>
            <w:tcW w:type="dxa" w:w="468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[VENDOR] provides ticketing metrics to identify trends and opportunities.</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[Backlog, ticket aging, resolution times, response times]</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Program Management</w:t>
            </w:r>
          </w:p>
        </w:tc>
        <w:tc>
          <w:tcPr>
            <w:tcW w:type="dxa" w:w="468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All projects currently in action with [VENDOR], including Professional Services engagements and other strategic projects.</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[Migration, implementations, custom code]</w:t>
            </w:r>
          </w:p>
        </w:tc>
      </w:tr>
    </w:tbl>
    <w:p>
      <w:pPr>
        <w:spacing w:after="120"/>
      </w:pPr>
    </w:p>
    <w:p>
      <w:pPr>
        <w:pStyle w:val="Heading2"/>
        <w:spacing w:after="120" w:before="240"/>
      </w:pPr>
      <w:r>
        <w:rPr>
          <w:rFonts w:ascii="Arial" w:cs="Arial" w:eastAsia="Arial" w:hAnsi="Arial"/>
          <w:b/>
          <w:bCs/>
          <w:color w:val="1B1A2B"/>
          <w:sz w:val="23"/>
          <w:szCs w:val="23"/>
        </w:rPr>
        <w:t xml:space="preserve">Executive Dashboard</w:t>
      </w:r>
    </w:p>
    <w:p>
      <w:pPr>
        <w:spacing w:after="120" w:line="300"/>
      </w:pPr>
      <w:r>
        <w:rPr>
          <w:rFonts w:ascii="Arial" w:cs="Arial" w:eastAsia="Arial" w:hAnsi="Arial"/>
          <w:color w:val="1B1A2B"/>
          <w:sz w:val="21"/>
          <w:szCs w:val="21"/>
        </w:rPr>
        <w:t xml:space="preserve">Our account health is summarized in a [CLIENT_NAME_SHORT] – [VENDOR] Executive Dashboard, a shared collaborative document that provides status updates on the priority, condition, and criticality of our work together: from high-visibility projects to escalated tasks. The Customer Success Executive reviews the Executive Dashboard with the broader [CLIENT_NAME_FULL] and [VENDOR] operating teams on a weekly basis to ensure prompt delivery of feedback and timely resolution of potential issues. Our teams use this document to establish and maintain shared views on our operations together while also surfacing timely and relevant feedback and topics that strengthen our strategic partnership.</w:t>
      </w:r>
    </w:p>
    <w:p>
      <w:pPr>
        <w:spacing w:after="120" w:line="300"/>
      </w:pPr>
      <w:r>
        <w:rPr>
          <w:rFonts w:ascii="Arial" w:cs="Arial" w:eastAsia="Arial" w:hAnsi="Arial"/>
          <w:b/>
          <w:bCs/>
          <w:color w:val="1B1A2B"/>
          <w:sz w:val="21"/>
          <w:szCs w:val="21"/>
        </w:rPr>
        <w:t xml:space="preserve">Dashboard location: </w:t>
      </w:r>
      <w:r>
        <w:rPr>
          <w:rFonts w:ascii="Arial" w:cs="Arial" w:eastAsia="Arial" w:hAnsi="Arial"/>
          <w:b/>
          <w:bCs/>
          <w:color w:val="0F7A80"/>
          <w:sz w:val="21"/>
          <w:szCs w:val="21"/>
        </w:rPr>
        <w:t xml:space="preserve">[LINK]</w:t>
      </w:r>
    </w:p>
    <w:p>
      <w:pPr>
        <w:pStyle w:val="Heading2"/>
        <w:spacing w:after="120" w:before="240"/>
      </w:pPr>
      <w:r>
        <w:rPr>
          <w:rFonts w:ascii="Arial" w:cs="Arial" w:eastAsia="Arial" w:hAnsi="Arial"/>
          <w:b/>
          <w:bCs/>
          <w:color w:val="1B1A2B"/>
          <w:sz w:val="23"/>
          <w:szCs w:val="23"/>
        </w:rPr>
        <w:t xml:space="preserve">Steering Committee</w:t>
      </w:r>
    </w:p>
    <w:p>
      <w:pPr>
        <w:spacing w:after="120" w:line="300"/>
      </w:pPr>
      <w:r>
        <w:rPr>
          <w:rFonts w:ascii="Arial" w:cs="Arial" w:eastAsia="Arial" w:hAnsi="Arial"/>
          <w:color w:val="1B1A2B"/>
          <w:sz w:val="21"/>
          <w:szCs w:val="21"/>
        </w:rPr>
        <w:t xml:space="preserve">[VENDOR] has proposed convening a Steering Committee to provide governance leadership that strengthens our shared partnership and serves its joint prioritization. When approved, the Steering Committee meets [weekly / bi-weekly / monthly], structures its agenda around the partnership dimensions above, and evaluates the [CLIENT_NAME_FULL] / [VENDOR] partnership through the lens of the maturity model, on a three-point charter:</w:t>
      </w:r>
    </w:p>
    <w:p>
      <w:pPr>
        <w:pStyle w:val="ListParagraph"/>
        <w:numPr>
          <w:ilvl w:val="0"/>
          <w:numId w:val="4"/>
        </w:numPr>
        <w:spacing w:after="80" w:line="280"/>
      </w:pPr>
      <w:r>
        <w:rPr>
          <w:rFonts w:ascii="Arial" w:cs="Arial" w:eastAsia="Arial" w:hAnsi="Arial"/>
          <w:color w:val="1B1A2B"/>
          <w:sz w:val="21"/>
          <w:szCs w:val="21"/>
        </w:rPr>
        <w:t xml:space="preserve">Understand [CLIENT_NAME_SHORT]'s business objectives, goals, and challenges.</w:t>
      </w:r>
    </w:p>
    <w:p>
      <w:pPr>
        <w:pStyle w:val="ListParagraph"/>
        <w:numPr>
          <w:ilvl w:val="0"/>
          <w:numId w:val="4"/>
        </w:numPr>
        <w:spacing w:after="80" w:line="280"/>
      </w:pPr>
      <w:r>
        <w:rPr>
          <w:rFonts w:ascii="Arial" w:cs="Arial" w:eastAsia="Arial" w:hAnsi="Arial"/>
          <w:color w:val="1B1A2B"/>
          <w:sz w:val="21"/>
          <w:szCs w:val="21"/>
        </w:rPr>
        <w:t xml:space="preserve">Review progress against the operating priorities and initiatives of the partnership.</w:t>
      </w:r>
    </w:p>
    <w:p>
      <w:pPr>
        <w:pStyle w:val="ListParagraph"/>
        <w:numPr>
          <w:ilvl w:val="0"/>
          <w:numId w:val="4"/>
        </w:numPr>
        <w:spacing w:after="80" w:line="280"/>
      </w:pPr>
      <w:r>
        <w:rPr>
          <w:rFonts w:ascii="Arial" w:cs="Arial" w:eastAsia="Arial" w:hAnsi="Arial"/>
          <w:color w:val="1B1A2B"/>
          <w:sz w:val="21"/>
          <w:szCs w:val="21"/>
        </w:rPr>
        <w:t xml:space="preserve">Amplify the impact of a healthy relationship by driving business results against the established success measures.</w:t>
      </w:r>
    </w:p>
    <w:p>
      <w:pPr>
        <w:spacing w:after="120" w:line="300"/>
      </w:pPr>
      <w:r>
        <w:rPr>
          <w:rFonts w:ascii="Arial" w:cs="Arial" w:eastAsia="Arial" w:hAnsi="Arial"/>
          <w:color w:val="1B1A2B"/>
          <w:sz w:val="21"/>
          <w:szCs w:val="21"/>
        </w:rPr>
        <w:t xml:space="preserve">[CLIENT_NAME_SHORT] and [VENDOR] each appoint committee members from executive leadership, business owners, and operational teams, tasked with meeting on the cadence above in order to:</w:t>
      </w:r>
    </w:p>
    <w:p>
      <w:pPr>
        <w:pStyle w:val="ListParagraph"/>
        <w:numPr>
          <w:ilvl w:val="0"/>
          <w:numId w:val="2"/>
        </w:numPr>
        <w:spacing w:after="60" w:line="280"/>
      </w:pPr>
      <w:r>
        <w:rPr>
          <w:rFonts w:ascii="Arial" w:cs="Arial" w:eastAsia="Arial" w:hAnsi="Arial"/>
          <w:color w:val="1B1A2B"/>
          <w:sz w:val="21"/>
          <w:szCs w:val="21"/>
        </w:rPr>
        <w:t xml:space="preserve">Evaluate and analyze business challenges, and prioritize jointly.</w:t>
      </w:r>
    </w:p>
    <w:p>
      <w:pPr>
        <w:pStyle w:val="ListParagraph"/>
        <w:numPr>
          <w:ilvl w:val="0"/>
          <w:numId w:val="2"/>
        </w:numPr>
        <w:spacing w:after="60" w:line="280"/>
      </w:pPr>
      <w:r>
        <w:rPr>
          <w:rFonts w:ascii="Arial" w:cs="Arial" w:eastAsia="Arial" w:hAnsi="Arial"/>
          <w:color w:val="1B1A2B"/>
          <w:sz w:val="21"/>
          <w:szCs w:val="21"/>
        </w:rPr>
        <w:t xml:space="preserve">Build alignment to pursuing opportunities that strengthen the partnership.</w:t>
      </w:r>
    </w:p>
    <w:p>
      <w:pPr>
        <w:pStyle w:val="ListParagraph"/>
        <w:numPr>
          <w:ilvl w:val="0"/>
          <w:numId w:val="2"/>
        </w:numPr>
        <w:spacing w:after="60" w:line="280"/>
      </w:pPr>
      <w:r>
        <w:rPr>
          <w:rFonts w:ascii="Arial" w:cs="Arial" w:eastAsia="Arial" w:hAnsi="Arial"/>
          <w:color w:val="1B1A2B"/>
          <w:sz w:val="21"/>
          <w:szCs w:val="21"/>
        </w:rPr>
        <w:t xml:space="preserve">Review the Steering Committee's progress against the success measures that drive collaboration, productivity, and efficiencies.</w:t>
      </w:r>
    </w:p>
    <w:p>
      <w:r>
        <w:br w:type="page"/>
      </w:r>
    </w:p>
    <w:p>
      <w:pPr>
        <w:pStyle w:val="Heading1"/>
        <w:spacing w:after="160" w:before="360"/>
      </w:pPr>
      <w:r>
        <w:rPr>
          <w:rFonts w:ascii="Arial" w:cs="Arial" w:eastAsia="Arial" w:hAnsi="Arial"/>
          <w:b/>
          <w:bCs/>
          <w:color w:val="C63A26"/>
          <w:sz w:val="28"/>
          <w:szCs w:val="28"/>
        </w:rPr>
        <w:t xml:space="preserve">VI. Customer Support</w:t>
      </w:r>
    </w:p>
    <w:p>
      <w:pPr>
        <w:spacing w:after="120" w:line="300"/>
      </w:pPr>
      <w:r>
        <w:rPr>
          <w:rFonts w:ascii="Arial" w:cs="Arial" w:eastAsia="Arial" w:hAnsi="Arial"/>
          <w:color w:val="1B1A2B"/>
          <w:sz w:val="21"/>
          <w:szCs w:val="21"/>
        </w:rPr>
        <w:t xml:space="preserve">Providing excellent service for our partnership with [CLIENT_NAME_FULL], [VENDOR]'s dedicated Customer Support team drives our model of support quality through a focus on throughput, communication, and transparency of issues reported and tickets as they move through the process. In working with [CLIENT_NAME_SHORT], Customer Support is measured by resolution timelines and quality of service.</w:t>
      </w:r>
    </w:p>
    <w:p>
      <w:pPr>
        <w:pStyle w:val="Heading2"/>
        <w:spacing w:after="120" w:before="240"/>
      </w:pPr>
      <w:r>
        <w:rPr>
          <w:rFonts w:ascii="Arial" w:cs="Arial" w:eastAsia="Arial" w:hAnsi="Arial"/>
          <w:b/>
          <w:bCs/>
          <w:color w:val="1B1A2B"/>
          <w:sz w:val="23"/>
          <w:szCs w:val="23"/>
        </w:rPr>
        <w:t xml:space="preserve">Support Team Structure</w:t>
      </w:r>
    </w:p>
    <w:p>
      <w:pPr>
        <w:pStyle w:val="ListParagraph"/>
        <w:numPr>
          <w:ilvl w:val="0"/>
          <w:numId w:val="5"/>
        </w:numPr>
        <w:spacing w:after="80" w:line="280"/>
      </w:pPr>
      <w:r>
        <w:rPr>
          <w:rFonts w:ascii="Arial" w:cs="Arial" w:eastAsia="Arial" w:hAnsi="Arial"/>
          <w:color w:val="1B1A2B"/>
          <w:sz w:val="21"/>
          <w:szCs w:val="21"/>
        </w:rPr>
        <w:t xml:space="preserve">Core Support — the [VENDOR] customer community is serviced by our Core Support team, which over time amasses a collective knowledge base of reported issues and critical paths toward their resolution.</w:t>
      </w:r>
    </w:p>
    <w:p>
      <w:pPr>
        <w:pStyle w:val="ListParagraph"/>
        <w:numPr>
          <w:ilvl w:val="0"/>
          <w:numId w:val="5"/>
        </w:numPr>
        <w:spacing w:after="80" w:line="280"/>
      </w:pPr>
      <w:r>
        <w:rPr>
          <w:rFonts w:ascii="Arial" w:cs="Arial" w:eastAsia="Arial" w:hAnsi="Arial"/>
          <w:color w:val="1B1A2B"/>
          <w:sz w:val="21"/>
          <w:szCs w:val="21"/>
        </w:rPr>
        <w:t xml:space="preserve">Dedicated Support — [CLIENT_NAME_FULL] is directly supported by the [VENDOR] dedicated Customer Support team, enhanced by the insights we receive from servicing our general customers while dedicated to providing a high-touch experience to expeditiously address and resolve issues.</w:t>
      </w:r>
    </w:p>
    <w:p>
      <w:pPr>
        <w:pStyle w:val="ListParagraph"/>
        <w:numPr>
          <w:ilvl w:val="1"/>
          <w:numId w:val="2"/>
        </w:numPr>
        <w:spacing w:after="60" w:line="280"/>
      </w:pPr>
      <w:r>
        <w:rPr>
          <w:rFonts w:ascii="Arial" w:cs="Arial" w:eastAsia="Arial" w:hAnsi="Arial"/>
          <w:color w:val="1B1A2B"/>
          <w:sz w:val="21"/>
          <w:szCs w:val="21"/>
        </w:rPr>
        <w:t xml:space="preserve">Tier 1 Support Representatives target prompt solution to mainstay and frontline issues that can be directly resolved; otherwise, they swiftly escalate.</w:t>
      </w:r>
    </w:p>
    <w:p>
      <w:pPr>
        <w:pStyle w:val="ListParagraph"/>
        <w:numPr>
          <w:ilvl w:val="1"/>
          <w:numId w:val="2"/>
        </w:numPr>
        <w:spacing w:after="60" w:line="280"/>
      </w:pPr>
      <w:r>
        <w:rPr>
          <w:rFonts w:ascii="Arial" w:cs="Arial" w:eastAsia="Arial" w:hAnsi="Arial"/>
          <w:color w:val="1B1A2B"/>
          <w:sz w:val="21"/>
          <w:szCs w:val="21"/>
        </w:rPr>
        <w:t xml:space="preserve">Tier 2 Support Analysts consist of a dedicated primary representative for [CLIENT_NAME_FULL] — [NAME] — supported by a team of secondaries who work alongside them; these team members are cross-trained and have deep expertise in your custom configurations and technical environments.</w:t>
      </w:r>
    </w:p>
    <w:p>
      <w:pPr>
        <w:pStyle w:val="ListParagraph"/>
        <w:numPr>
          <w:ilvl w:val="1"/>
          <w:numId w:val="2"/>
        </w:numPr>
        <w:spacing w:after="60" w:line="280"/>
      </w:pPr>
      <w:r>
        <w:rPr>
          <w:rFonts w:ascii="Arial" w:cs="Arial" w:eastAsia="Arial" w:hAnsi="Arial"/>
          <w:color w:val="1B1A2B"/>
          <w:sz w:val="21"/>
          <w:szCs w:val="21"/>
        </w:rPr>
        <w:t xml:space="preserve">Tier 3 Support Engineers target complex issues requiring in-depth evaluation, analysis of technical impact, and synthesis of a solution; they partner directly with the Tier 2 Support Analyst to ensure clear communication and transparency regarding issue status and timeline for resolution.</w:t>
      </w:r>
    </w:p>
    <w:p>
      <w:pPr>
        <w:pStyle w:val="ListParagraph"/>
        <w:numPr>
          <w:ilvl w:val="0"/>
          <w:numId w:val="5"/>
        </w:numPr>
        <w:spacing w:after="80" w:line="280"/>
      </w:pPr>
      <w:r>
        <w:rPr>
          <w:rFonts w:ascii="Arial" w:cs="Arial" w:eastAsia="Arial" w:hAnsi="Arial"/>
          <w:color w:val="1B1A2B"/>
          <w:sz w:val="21"/>
          <w:szCs w:val="21"/>
        </w:rPr>
        <w:t xml:space="preserve">Professional Services Support — for issues pertaining to custom development, projects, integrations, and implementations performed on behalf of [CLIENT_NAME_FULL], Customer Support escalates to the Professional Services team if the issue cannot be resolved within the support tiers.</w:t>
      </w:r>
    </w:p>
    <w:p>
      <w:pPr>
        <w:pStyle w:val="ListParagraph"/>
        <w:numPr>
          <w:ilvl w:val="0"/>
          <w:numId w:val="5"/>
        </w:numPr>
        <w:spacing w:after="80" w:line="280"/>
      </w:pPr>
      <w:r>
        <w:rPr>
          <w:rFonts w:ascii="Arial" w:cs="Arial" w:eastAsia="Arial" w:hAnsi="Arial"/>
          <w:color w:val="1B1A2B"/>
          <w:sz w:val="21"/>
          <w:szCs w:val="21"/>
        </w:rPr>
        <w:t xml:space="preserve">Engineering — issues escalated beyond Customer Support that require changes to the underlying [VENDOR] product are communicated with the statuses below.</w:t>
      </w:r>
    </w:p>
    <w:p>
      <w:pPr>
        <w:pStyle w:val="Heading2"/>
        <w:spacing w:after="120" w:before="240"/>
      </w:pPr>
      <w:r>
        <w:rPr>
          <w:rFonts w:ascii="Arial" w:cs="Arial" w:eastAsia="Arial" w:hAnsi="Arial"/>
          <w:b/>
          <w:bCs/>
          <w:color w:val="1B1A2B"/>
          <w:sz w:val="23"/>
          <w:szCs w:val="23"/>
        </w:rPr>
        <w:t xml:space="preserve">Product Issues and Statuses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tblHeader/>
        </w:trPr>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Status</w:t>
            </w:r>
          </w:p>
        </w:tc>
        <w:tc>
          <w:tcPr>
            <w:tcW w:type="dxa" w:w="702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Meaning</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Engineering In Progress</w:t>
            </w:r>
          </w:p>
        </w:tc>
        <w:tc>
          <w:tcPr>
            <w:tcW w:type="dxa" w:w="70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Assigned to a Product Engineer and being worked on an active basis.</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Queued for Development</w:t>
            </w:r>
          </w:p>
        </w:tc>
        <w:tc>
          <w:tcPr>
            <w:tcW w:type="dxa" w:w="70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Validated by a Product Engineer as a bug and sent to the Development team for triage.</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Development — Short Term</w:t>
            </w:r>
          </w:p>
        </w:tc>
        <w:tc>
          <w:tcPr>
            <w:tcW w:type="dxa" w:w="70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Will be addressed by development in the short term (under approximately [four] months).</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Development — Long Term</w:t>
            </w:r>
          </w:p>
        </w:tc>
        <w:tc>
          <w:tcPr>
            <w:tcW w:type="dxa" w:w="70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May be addressed by development in the long term.</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Development In Progress</w:t>
            </w:r>
          </w:p>
        </w:tc>
        <w:tc>
          <w:tcPr>
            <w:tcW w:type="dxa" w:w="70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Actively being resolved by the Development team.</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Queued for Release</w:t>
            </w:r>
          </w:p>
        </w:tc>
        <w:tc>
          <w:tcPr>
            <w:tcW w:type="dxa" w:w="70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Development work is complete and scheduled for release into the product.</w:t>
            </w:r>
          </w:p>
        </w:tc>
      </w:tr>
    </w:tbl>
    <w:p>
      <w:pPr>
        <w:spacing w:after="120"/>
      </w:pPr>
    </w:p>
    <w:p>
      <w:pPr>
        <w:pStyle w:val="Heading2"/>
        <w:spacing w:after="120" w:before="240"/>
      </w:pPr>
      <w:r>
        <w:rPr>
          <w:rFonts w:ascii="Arial" w:cs="Arial" w:eastAsia="Arial" w:hAnsi="Arial"/>
          <w:b/>
          <w:bCs/>
          <w:color w:val="1B1A2B"/>
          <w:sz w:val="23"/>
          <w:szCs w:val="23"/>
        </w:rPr>
        <w:t xml:space="preserve">Support Ticket Initial Response Goals</w:t>
      </w:r>
    </w:p>
    <w:p>
      <w:pPr>
        <w:pBdr>
          <w:left w:val="single" w:color="0F7A80" w:sz="18" w:space="8"/>
        </w:pBdr>
        <w:shd w:fill="E8F1F0" w:color="E8F1F0" w:val="clear"/>
        <w:spacing w:after="120" w:line="280"/>
        <w:ind w:left="120"/>
      </w:pPr>
      <w:r>
        <w:rPr>
          <w:rFonts w:ascii="Arial" w:cs="Arial" w:eastAsia="Arial" w:hAnsi="Arial"/>
          <w:i/>
          <w:iCs/>
          <w:color w:val="6E6C80"/>
          <w:sz w:val="19"/>
          <w:szCs w:val="19"/>
        </w:rPr>
        <w:t xml:space="preserve">Publish the real numbers. Where a number is a goal you are still reaching, say so here, with the date you expect to reach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1560"/>
        <w:gridCol w:w="1560"/>
        <w:gridCol w:w="3900"/>
      </w:tblGrid>
      <w:tr>
        <w:trPr>
          <w:tblHeader/>
        </w:trPr>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Severity Level</w:t>
            </w:r>
          </w:p>
        </w:tc>
        <w:tc>
          <w:tcPr>
            <w:tcW w:type="dxa" w:w="156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Initial Response</w:t>
            </w:r>
          </w:p>
        </w:tc>
        <w:tc>
          <w:tcPr>
            <w:tcW w:type="dxa" w:w="156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Follow-Ups</w:t>
            </w:r>
          </w:p>
        </w:tc>
        <w:tc>
          <w:tcPr>
            <w:tcW w:type="dxa" w:w="390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Definition</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Critical</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[&lt; 1 hour]</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[Hourly]</w:t>
            </w:r>
          </w:p>
        </w:tc>
        <w:tc>
          <w:tcPr>
            <w:tcW w:type="dxa" w:w="390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Severe business impact: [VENDOR] is not operational; no workaround exists; all users affected.</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High (attention within one business day)</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[&lt; 4 hours]</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[Daily]</w:t>
            </w:r>
          </w:p>
        </w:tc>
        <w:tc>
          <w:tcPr>
            <w:tcW w:type="dxa" w:w="390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Impaired core functionality, significant business impact: functionality is unavailable; workaround is cumbersome or non-existent.</w:t>
            </w:r>
          </w:p>
        </w:tc>
      </w:tr>
      <w:tr>
        <w:trPr>
          <w:tblHeader w:val="off"/>
        </w:trPr>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Non-Critical (does not require immediate attention)</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[2 days]</w:t>
            </w:r>
          </w:p>
        </w:tc>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[Weekly]</w:t>
            </w:r>
          </w:p>
        </w:tc>
        <w:tc>
          <w:tcPr>
            <w:tcW w:type="dxa" w:w="390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[Definition]</w:t>
            </w:r>
          </w:p>
        </w:tc>
      </w:tr>
    </w:tbl>
    <w:p>
      <w:r>
        <w:br w:type="page"/>
      </w:r>
    </w:p>
    <w:p>
      <w:pPr>
        <w:pStyle w:val="Heading1"/>
        <w:spacing w:after="160" w:before="360"/>
      </w:pPr>
      <w:r>
        <w:rPr>
          <w:rFonts w:ascii="Arial" w:cs="Arial" w:eastAsia="Arial" w:hAnsi="Arial"/>
          <w:b/>
          <w:bCs/>
          <w:color w:val="C63A26"/>
          <w:sz w:val="28"/>
          <w:szCs w:val="28"/>
        </w:rPr>
        <w:t xml:space="preserve">VII. Professional Services</w:t>
      </w:r>
    </w:p>
    <w:p>
      <w:pPr>
        <w:spacing w:after="120" w:line="300"/>
      </w:pPr>
      <w:r>
        <w:rPr>
          <w:rFonts w:ascii="Arial" w:cs="Arial" w:eastAsia="Arial" w:hAnsi="Arial"/>
          <w:color w:val="1B1A2B"/>
          <w:sz w:val="21"/>
          <w:szCs w:val="21"/>
        </w:rPr>
        <w:t xml:space="preserve">The [VENDOR] platform delivers compelling business results for [CLIENT_NAME_FULL], and its potential to expand the reach and impact for [CLIENT_NAME_SHORT] and its customers relies upon an agile team of experts with the knowledge, skills, and abilities to execute on programs and projects. [VENDOR]'s Professional Services is dedicated to performing development and engineering engagements that enhance performance and deliver results for our enterprise clients.</w:t>
      </w:r>
    </w:p>
    <w:p>
      <w:pPr>
        <w:pStyle w:val="ListParagraph"/>
        <w:numPr>
          <w:ilvl w:val="0"/>
          <w:numId w:val="6"/>
        </w:numPr>
        <w:spacing w:after="80" w:line="280"/>
      </w:pPr>
      <w:r>
        <w:rPr>
          <w:rFonts w:ascii="Arial" w:cs="Arial" w:eastAsia="Arial" w:hAnsi="Arial"/>
          <w:color w:val="1B1A2B"/>
          <w:sz w:val="21"/>
          <w:szCs w:val="21"/>
        </w:rPr>
        <w:t xml:space="preserve">Program Management — [CLIENT_NAME_SHORT]'s Professional Services team at [VENDOR] is led by a Program Manager, [NAME], overseeing the progress and performance of custom development, implementation, and integration projects across our teams.</w:t>
      </w:r>
    </w:p>
    <w:p>
      <w:pPr>
        <w:pStyle w:val="ListParagraph"/>
        <w:numPr>
          <w:ilvl w:val="0"/>
          <w:numId w:val="6"/>
        </w:numPr>
        <w:spacing w:after="80" w:line="280"/>
      </w:pPr>
      <w:r>
        <w:rPr>
          <w:rFonts w:ascii="Arial" w:cs="Arial" w:eastAsia="Arial" w:hAnsi="Arial"/>
          <w:color w:val="1B1A2B"/>
          <w:sz w:val="21"/>
          <w:szCs w:val="21"/>
        </w:rPr>
        <w:t xml:space="preserve">Project Management — each project has a dedicated project manager responsible for managing the tracks of work on an engagement so that our scope of work is delivered on time and on budget.</w:t>
      </w:r>
    </w:p>
    <w:p>
      <w:pPr>
        <w:pStyle w:val="ListParagraph"/>
        <w:numPr>
          <w:ilvl w:val="0"/>
          <w:numId w:val="6"/>
        </w:numPr>
        <w:spacing w:after="80" w:line="280"/>
      </w:pPr>
      <w:r>
        <w:rPr>
          <w:rFonts w:ascii="Arial" w:cs="Arial" w:eastAsia="Arial" w:hAnsi="Arial"/>
          <w:color w:val="1B1A2B"/>
          <w:sz w:val="21"/>
          <w:szCs w:val="21"/>
        </w:rPr>
        <w:t xml:space="preserve">Technical Development — engineers within the Professional Services practice devise the technical specifications of a solution and implement technology successfully.</w:t>
      </w:r>
    </w:p>
    <w:p>
      <w:pPr>
        <w:pStyle w:val="ListParagraph"/>
        <w:numPr>
          <w:ilvl w:val="0"/>
          <w:numId w:val="6"/>
        </w:numPr>
        <w:spacing w:after="80" w:line="280"/>
      </w:pPr>
      <w:r>
        <w:rPr>
          <w:rFonts w:ascii="Arial" w:cs="Arial" w:eastAsia="Arial" w:hAnsi="Arial"/>
          <w:color w:val="1B1A2B"/>
          <w:sz w:val="21"/>
          <w:szCs w:val="21"/>
        </w:rPr>
        <w:t xml:space="preserve">Solutions Architecture — Solutions Architects and Business Analysts gather business requirements to define the functional parameters for technical solutions, present them in a Statement of Work, and ensure that [VENDOR] and [CLIENT_NAME_FULL] are aligned on both outputs and outcomes.</w:t>
      </w:r>
    </w:p>
    <w:p>
      <w:pPr>
        <w:pStyle w:val="ListParagraph"/>
        <w:numPr>
          <w:ilvl w:val="0"/>
          <w:numId w:val="6"/>
        </w:numPr>
        <w:spacing w:after="80" w:line="280"/>
      </w:pPr>
      <w:r>
        <w:rPr>
          <w:rFonts w:ascii="Arial" w:cs="Arial" w:eastAsia="Arial" w:hAnsi="Arial"/>
          <w:color w:val="1B1A2B"/>
          <w:sz w:val="21"/>
          <w:szCs w:val="21"/>
        </w:rPr>
        <w:t xml:space="preserve">Quality Assurance — QA Analysts use recognized best practices for testing tools and techniques to ensure that the code and setup performed by the Professional Services team exceed quality standards. The QA team works in combination with your testing resources to ensure a successful deployment of services.</w:t>
      </w:r>
    </w:p>
    <w:p>
      <w:pPr>
        <w:pStyle w:val="ListParagraph"/>
        <w:numPr>
          <w:ilvl w:val="0"/>
          <w:numId w:val="6"/>
        </w:numPr>
        <w:spacing w:after="80" w:line="280"/>
      </w:pPr>
      <w:r>
        <w:rPr>
          <w:rFonts w:ascii="Arial" w:cs="Arial" w:eastAsia="Arial" w:hAnsi="Arial"/>
          <w:color w:val="1B1A2B"/>
          <w:sz w:val="21"/>
          <w:szCs w:val="21"/>
        </w:rPr>
        <w:t xml:space="preserve">Data Engineering — Data Engineers specialize in the data that resides within your [VENDOR] systems, ensuring that data is captured, updated, and maintained to a high standard so your systems run as efficiently as possible.</w:t>
      </w:r>
    </w:p>
    <w:p>
      <w:r>
        <w:br w:type="page"/>
      </w:r>
    </w:p>
    <w:p>
      <w:pPr>
        <w:pStyle w:val="Heading1"/>
        <w:spacing w:after="160" w:before="360"/>
      </w:pPr>
      <w:r>
        <w:rPr>
          <w:rFonts w:ascii="Arial" w:cs="Arial" w:eastAsia="Arial" w:hAnsi="Arial"/>
          <w:b/>
          <w:bCs/>
          <w:color w:val="C63A26"/>
          <w:sz w:val="28"/>
          <w:szCs w:val="28"/>
        </w:rPr>
        <w:t xml:space="preserve">VIII. Product Releases</w:t>
      </w:r>
    </w:p>
    <w:p>
      <w:pPr>
        <w:spacing w:after="120" w:line="300"/>
      </w:pPr>
      <w:r>
        <w:rPr>
          <w:rFonts w:ascii="Arial" w:cs="Arial" w:eastAsia="Arial" w:hAnsi="Arial"/>
          <w:color w:val="1B1A2B"/>
          <w:sz w:val="21"/>
          <w:szCs w:val="21"/>
        </w:rPr>
        <w:t xml:space="preserve">The [VENDOR] Product team updates the platform on an ongoing basis by releasing new products, features, functionality enhancements, and bug fixes to the entire user base. During our annual and quarterly business reviews, [VENDOR] may share elements of our product roadmap in order to build alignment and drive adoption to meet business objectives. These roadmap discussions provide guidance about our direction and remain subject to change.</w:t>
      </w:r>
    </w:p>
    <w:p>
      <w:pPr>
        <w:pStyle w:val="Heading2"/>
        <w:spacing w:after="120" w:before="240"/>
      </w:pPr>
      <w:r>
        <w:rPr>
          <w:rFonts w:ascii="Arial" w:cs="Arial" w:eastAsia="Arial" w:hAnsi="Arial"/>
          <w:b/>
          <w:bCs/>
          <w:color w:val="1B1A2B"/>
          <w:sz w:val="23"/>
          <w:szCs w:val="23"/>
        </w:rPr>
        <w:t xml:space="preserve">Release Mechanism</w:t>
      </w:r>
    </w:p>
    <w:p>
      <w:pPr>
        <w:spacing w:after="120" w:line="300"/>
      </w:pPr>
      <w:r>
        <w:rPr>
          <w:rFonts w:ascii="Arial" w:cs="Arial" w:eastAsia="Arial" w:hAnsi="Arial"/>
          <w:color w:val="1B1A2B"/>
          <w:sz w:val="21"/>
          <w:szCs w:val="21"/>
        </w:rPr>
        <w:t xml:space="preserve">[VENDOR]'s product release cadence is [monthly], generally starting with a preview on sandbox environments in the early part of the month and a phased rollout to all customers through the rest of the month. Throughout the release cycle, our release team updates the [VENDOR] status site, [STATUS URL], with detailed information about release timing and real-time updates during the deploy window.</w:t>
      </w:r>
    </w:p>
    <w:p>
      <w:pPr>
        <w:pBdr>
          <w:left w:val="single" w:color="0F7A80" w:sz="18" w:space="8"/>
        </w:pBdr>
        <w:shd w:fill="E8F1F0" w:color="E8F1F0" w:val="clear"/>
        <w:spacing w:after="120" w:line="280"/>
        <w:ind w:left="120"/>
      </w:pPr>
      <w:r>
        <w:rPr>
          <w:rFonts w:ascii="Arial" w:cs="Arial" w:eastAsia="Arial" w:hAnsi="Arial"/>
          <w:i/>
          <w:iCs/>
          <w:color w:val="6E6C80"/>
          <w:sz w:val="19"/>
          <w:szCs w:val="19"/>
        </w:rPr>
        <w:t xml:space="preserve">Draw your release month as a calendar here — notice, early access, production — so that the customer can plan around it.</w:t>
      </w:r>
    </w:p>
    <w:p>
      <w:pPr>
        <w:pStyle w:val="ListParagraph"/>
        <w:numPr>
          <w:ilvl w:val="0"/>
          <w:numId w:val="7"/>
        </w:numPr>
        <w:spacing w:after="80" w:line="280"/>
      </w:pPr>
      <w:r>
        <w:rPr>
          <w:rFonts w:ascii="Arial" w:cs="Arial" w:eastAsia="Arial" w:hAnsi="Arial"/>
          <w:color w:val="1B1A2B"/>
          <w:sz w:val="21"/>
          <w:szCs w:val="21"/>
        </w:rPr>
        <w:t xml:space="preserve">Early Access — new releases are first made available on sandbox or non-production systems. Customers are notified of upcoming releases by email [two to three] business days in advance, with highlights and a link to detailed release notes.</w:t>
      </w:r>
    </w:p>
    <w:p>
      <w:pPr>
        <w:pStyle w:val="ListParagraph"/>
        <w:numPr>
          <w:ilvl w:val="0"/>
          <w:numId w:val="7"/>
        </w:numPr>
        <w:spacing w:after="80" w:line="280"/>
      </w:pPr>
      <w:r>
        <w:rPr>
          <w:rFonts w:ascii="Arial" w:cs="Arial" w:eastAsia="Arial" w:hAnsi="Arial"/>
          <w:color w:val="1B1A2B"/>
          <w:sz w:val="21"/>
          <w:szCs w:val="21"/>
        </w:rPr>
        <w:t xml:space="preserve">Interim — customers review new features, enhancements, and bug fixes on their sandbox systems, update internal process documentation, and plan training. New features are typically deployed de-activated and require [CLIENT_NAME_FULL] to request activation through Customer Support.</w:t>
      </w:r>
    </w:p>
    <w:p>
      <w:pPr>
        <w:pStyle w:val="ListParagraph"/>
        <w:numPr>
          <w:ilvl w:val="0"/>
          <w:numId w:val="7"/>
        </w:numPr>
        <w:spacing w:after="80" w:line="280"/>
      </w:pPr>
      <w:r>
        <w:rPr>
          <w:rFonts w:ascii="Arial" w:cs="Arial" w:eastAsia="Arial" w:hAnsi="Arial"/>
          <w:color w:val="1B1A2B"/>
          <w:sz w:val="21"/>
          <w:szCs w:val="21"/>
        </w:rPr>
        <w:t xml:space="preserve">Production Deployment — production rollout typically commences [the week following] a successful sandbox release, so clients generally receive [nine] days' notice before production systems are updated. The release engineering team determines the deployment schedule for the remainder of the month; the sequence varies across release cycles.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60"/>
        <w:gridCol w:w="3120"/>
        <w:gridCol w:w="2340"/>
        <w:gridCol w:w="2340"/>
      </w:tblGrid>
      <w:tr>
        <w:trPr>
          <w:tblHeader/>
        </w:trPr>
        <w:tc>
          <w:tcPr>
            <w:tcW w:type="dxa" w:w="156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Stage</w:t>
            </w:r>
          </w:p>
        </w:tc>
        <w:tc>
          <w:tcPr>
            <w:tcW w:type="dxa" w:w="312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Communication</w:t>
            </w:r>
          </w:p>
        </w:tc>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Touchpoint</w:t>
            </w:r>
          </w:p>
        </w:tc>
        <w:tc>
          <w:tcPr>
            <w:tcW w:type="dxa" w:w="2340"/>
            <w:tcBorders>
              <w:top w:val="single" w:color="DEDBD2" w:sz="4"/>
              <w:left w:val="single" w:color="DEDBD2" w:sz="4"/>
              <w:bottom w:val="single" w:color="DEDBD2" w:sz="4"/>
              <w:right w:val="single" w:color="DEDBD2" w:sz="4"/>
            </w:tcBorders>
            <w:shd w:fill="1B1A2B" w:color="1B1A2B" w:val="clear"/>
            <w:tcMar>
              <w:top w:type="dxa" w:w="80"/>
              <w:left w:type="dxa" w:w="110"/>
              <w:bottom w:type="dxa" w:w="80"/>
              <w:right w:type="dxa" w:w="110"/>
            </w:tcMar>
          </w:tcPr>
          <w:p>
            <w:pPr>
              <w:spacing w:after="0" w:line="260"/>
            </w:pPr>
            <w:r>
              <w:rPr>
                <w:rFonts w:ascii="Arial" w:cs="Arial" w:eastAsia="Arial" w:hAnsi="Arial"/>
                <w:b/>
                <w:bCs/>
                <w:color w:val="FFFFFF"/>
                <w:sz w:val="18"/>
                <w:szCs w:val="18"/>
              </w:rPr>
              <w:t xml:space="preserve">Owner</w:t>
            </w:r>
          </w:p>
        </w:tc>
      </w:tr>
      <w:tr>
        <w:trPr>
          <w:tblHeader w:val="off"/>
        </w:trPr>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Notice</w:t>
            </w:r>
          </w:p>
        </w:tc>
        <w:tc>
          <w:tcPr>
            <w:tcW w:type="dxa" w:w="31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Email message; update on the status site</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Product Marketing</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Success Executive</w:t>
            </w:r>
          </w:p>
        </w:tc>
      </w:tr>
      <w:tr>
        <w:trPr>
          <w:tblHeader w:val="off"/>
        </w:trPr>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Early Access</w:t>
            </w:r>
          </w:p>
        </w:tc>
        <w:tc>
          <w:tcPr>
            <w:tcW w:type="dxa" w:w="31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Update on the status site</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Support</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Success Executive</w:t>
            </w:r>
          </w:p>
        </w:tc>
      </w:tr>
      <w:tr>
        <w:trPr>
          <w:tblHeader w:val="off"/>
        </w:trPr>
        <w:tc>
          <w:tcPr>
            <w:tcW w:type="dxa" w:w="156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Release to Production</w:t>
            </w:r>
          </w:p>
        </w:tc>
        <w:tc>
          <w:tcPr>
            <w:tcW w:type="dxa" w:w="312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Update on the status site</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Support</w:t>
            </w:r>
          </w:p>
        </w:tc>
        <w:tc>
          <w:tcPr>
            <w:tcW w:type="dxa" w:w="2340"/>
            <w:tcBorders>
              <w:top w:val="single" w:color="DEDBD2" w:sz="4"/>
              <w:left w:val="single" w:color="DEDBD2" w:sz="4"/>
              <w:bottom w:val="single" w:color="DEDBD2" w:sz="4"/>
              <w:right w:val="single" w:color="DEDBD2" w:sz="4"/>
            </w:tcBorders>
            <w:tcMar>
              <w:top w:type="dxa" w:w="80"/>
              <w:left w:type="dxa" w:w="110"/>
              <w:bottom w:type="dxa" w:w="80"/>
              <w:right w:type="dxa" w:w="110"/>
            </w:tcMar>
          </w:tcPr>
          <w:p>
            <w:pPr>
              <w:spacing w:after="0" w:line="260"/>
            </w:pPr>
            <w:r>
              <w:rPr>
                <w:rFonts w:ascii="Arial" w:cs="Arial" w:eastAsia="Arial" w:hAnsi="Arial"/>
                <w:color w:val="1B1A2B"/>
                <w:sz w:val="19"/>
                <w:szCs w:val="19"/>
              </w:rPr>
              <w:t xml:space="preserve">Customer Success Executive</w:t>
            </w:r>
          </w:p>
        </w:tc>
      </w:tr>
    </w:tbl>
    <w:p>
      <w:pPr>
        <w:spacing w:after="120"/>
      </w:pPr>
    </w:p>
    <w:p>
      <w:pPr>
        <w:pStyle w:val="Heading2"/>
        <w:spacing w:after="120" w:before="240"/>
      </w:pPr>
      <w:r>
        <w:rPr>
          <w:rFonts w:ascii="Arial" w:cs="Arial" w:eastAsia="Arial" w:hAnsi="Arial"/>
          <w:b/>
          <w:bCs/>
          <w:color w:val="1B1A2B"/>
          <w:sz w:val="23"/>
          <w:szCs w:val="23"/>
        </w:rPr>
        <w:t xml:space="preserve">Enablement</w:t>
      </w:r>
    </w:p>
    <w:p>
      <w:pPr>
        <w:spacing w:after="120" w:line="300"/>
      </w:pPr>
      <w:r>
        <w:rPr>
          <w:rFonts w:ascii="Arial" w:cs="Arial" w:eastAsia="Arial" w:hAnsi="Arial"/>
          <w:color w:val="1B1A2B"/>
          <w:sz w:val="21"/>
          <w:szCs w:val="21"/>
        </w:rPr>
        <w:t xml:space="preserve">Product releases are the starting point for implementing new features and functionality to the [CLIENT_NAME_FULL] user community. [VENDOR] provides releases as quickly as possible so that you can evaluate and incorporate enhancements into your user adoption plan. As you review how new features might benefit the organization's leverage of the platform, [VENDOR] partners with you to stage training, onboarding, and enablement in the months after product enhancements are released.</w:t>
      </w:r>
    </w:p>
    <w:p>
      <w:pPr>
        <w:pStyle w:val="Heading2"/>
        <w:spacing w:after="120" w:before="240"/>
      </w:pPr>
      <w:r>
        <w:rPr>
          <w:rFonts w:ascii="Arial" w:cs="Arial" w:eastAsia="Arial" w:hAnsi="Arial"/>
          <w:b/>
          <w:bCs/>
          <w:color w:val="1B1A2B"/>
          <w:sz w:val="23"/>
          <w:szCs w:val="23"/>
        </w:rPr>
        <w:t xml:space="preserve">Hotfixes</w:t>
      </w:r>
    </w:p>
    <w:p>
      <w:pPr>
        <w:spacing w:after="120" w:line="300"/>
      </w:pPr>
      <w:r>
        <w:rPr>
          <w:rFonts w:ascii="Arial" w:cs="Arial" w:eastAsia="Arial" w:hAnsi="Arial"/>
          <w:color w:val="1B1A2B"/>
          <w:sz w:val="21"/>
          <w:szCs w:val="21"/>
        </w:rPr>
        <w:t xml:space="preserve">Hotfixes, or time-sensitive adjustments to the platform in production, are an exception to the workflow above. Hotfixes are deployed with maintenance notices posted to the [VENDOR] status site.</w:t>
      </w:r>
    </w:p>
    <w:p>
      <w:r>
        <w:br w:type="page"/>
      </w:r>
    </w:p>
    <w:p>
      <w:pPr>
        <w:pStyle w:val="Heading1"/>
        <w:spacing w:after="160" w:before="360"/>
      </w:pPr>
      <w:r>
        <w:rPr>
          <w:rFonts w:ascii="Arial" w:cs="Arial" w:eastAsia="Arial" w:hAnsi="Arial"/>
          <w:b/>
          <w:bCs/>
          <w:color w:val="C63A26"/>
          <w:sz w:val="28"/>
          <w:szCs w:val="28"/>
        </w:rPr>
        <w:t xml:space="preserve">IX. Adoption Program</w:t>
      </w:r>
    </w:p>
    <w:p>
      <w:pPr>
        <w:spacing w:after="120" w:line="300"/>
      </w:pPr>
      <w:r>
        <w:rPr>
          <w:rFonts w:ascii="Arial" w:cs="Arial" w:eastAsia="Arial" w:hAnsi="Arial"/>
          <w:color w:val="1B1A2B"/>
          <w:sz w:val="21"/>
          <w:szCs w:val="21"/>
        </w:rPr>
        <w:t xml:space="preserve">[VENDOR]'s Professional Services advocates for an incredible user experience, ensuring that [CLIENT_NAME_FULL] benefits from successful business outcomes through your investment in [VENDOR]. For enterprise customers, our Adoption Program is designed to partner effectively and efficiently with the business to ensure end users in market sites are receiving targeted tactical service and support, while simultaneously arming global information technology and operations organizations with strategic insights on efficiency. While each Adoption Program is designed, developed, and deployed jointly between [VENDOR] and [CLIENT_NAME_SHORT], there are several elements of the program we recommend based upon end-user and local field-market needs.</w:t>
      </w:r>
    </w:p>
    <w:p>
      <w:pPr>
        <w:pStyle w:val="Heading2"/>
        <w:spacing w:after="120" w:before="240"/>
      </w:pPr>
      <w:r>
        <w:rPr>
          <w:rFonts w:ascii="Arial" w:cs="Arial" w:eastAsia="Arial" w:hAnsi="Arial"/>
          <w:b/>
          <w:bCs/>
          <w:color w:val="1B1A2B"/>
          <w:sz w:val="23"/>
          <w:szCs w:val="23"/>
        </w:rPr>
        <w:t xml:space="preserve">Adoption Program Charter</w:t>
      </w:r>
    </w:p>
    <w:p>
      <w:pPr>
        <w:spacing w:after="120" w:line="300"/>
      </w:pPr>
      <w:r>
        <w:rPr>
          <w:rFonts w:ascii="Arial" w:cs="Arial" w:eastAsia="Arial" w:hAnsi="Arial"/>
          <w:color w:val="1B1A2B"/>
          <w:sz w:val="21"/>
          <w:szCs w:val="21"/>
        </w:rPr>
        <w:t xml:space="preserve">At the onset of the Adoption Program, [VENDOR] documents expectations, activities, success criteria, and outcomes within a simple memo outlining parameters, both globally and on the ground. Each program "wave" has a clearly defined duration, list of target sites and end-user populations, and requirements of both [VENDOR] and [CLIENT_NAME_SHORT] staff to ensure the engagement is successful. Program structure is identified in terms of duration, pathways for activity, meetings and preparation, and any deliverables. At the conclusion of each wave, a debrief conversation assesses further iterations of our outreach and engagement activities for the business and end users.</w:t>
      </w:r>
    </w:p>
    <w:p>
      <w:pPr>
        <w:pStyle w:val="Heading2"/>
        <w:spacing w:after="120" w:before="240"/>
      </w:pPr>
      <w:r>
        <w:rPr>
          <w:rFonts w:ascii="Arial" w:cs="Arial" w:eastAsia="Arial" w:hAnsi="Arial"/>
          <w:b/>
          <w:bCs/>
          <w:color w:val="1B1A2B"/>
          <w:sz w:val="23"/>
          <w:szCs w:val="23"/>
        </w:rPr>
        <w:t xml:space="preserve">Program Structure</w:t>
      </w:r>
    </w:p>
    <w:p>
      <w:pPr>
        <w:spacing w:after="120" w:line="300"/>
      </w:pPr>
      <w:r>
        <w:rPr>
          <w:rFonts w:ascii="Arial" w:cs="Arial" w:eastAsia="Arial" w:hAnsi="Arial"/>
          <w:color w:val="1B1A2B"/>
          <w:sz w:val="21"/>
          <w:szCs w:val="21"/>
        </w:rPr>
        <w:t xml:space="preserve">[VENDOR] recommends centralizing the Adoption Program through the [CLIENT_NAME_LONG] information technology group, with each operating company or business unit's operations team partnering to allocate resources to its success. For this strategy to be successful, we believe it is critical to have:</w:t>
      </w:r>
    </w:p>
    <w:p>
      <w:pPr>
        <w:pStyle w:val="ListParagraph"/>
        <w:numPr>
          <w:ilvl w:val="0"/>
          <w:numId w:val="2"/>
        </w:numPr>
        <w:spacing w:after="60" w:line="280"/>
      </w:pPr>
      <w:r>
        <w:rPr>
          <w:rFonts w:ascii="Arial" w:cs="Arial" w:eastAsia="Arial" w:hAnsi="Arial"/>
          <w:color w:val="1B1A2B"/>
          <w:sz w:val="21"/>
          <w:szCs w:val="21"/>
        </w:rPr>
        <w:t xml:space="preserve">Buy-in from top executives, both globally as well as at each operating company; and</w:t>
      </w:r>
    </w:p>
    <w:p>
      <w:pPr>
        <w:pStyle w:val="ListParagraph"/>
        <w:numPr>
          <w:ilvl w:val="0"/>
          <w:numId w:val="2"/>
        </w:numPr>
        <w:spacing w:after="60" w:line="280"/>
      </w:pPr>
      <w:r>
        <w:rPr>
          <w:rFonts w:ascii="Arial" w:cs="Arial" w:eastAsia="Arial" w:hAnsi="Arial"/>
          <w:color w:val="1B1A2B"/>
          <w:sz w:val="21"/>
          <w:szCs w:val="21"/>
        </w:rPr>
        <w:t xml:space="preserve">Clear understanding and commitment from client stakeholders on active participation, support, and co-facilitation for the program and its activities.</w:t>
      </w:r>
    </w:p>
    <w:p>
      <w:pPr>
        <w:pStyle w:val="Heading2"/>
        <w:spacing w:after="120" w:before="240"/>
      </w:pPr>
      <w:r>
        <w:rPr>
          <w:rFonts w:ascii="Arial" w:cs="Arial" w:eastAsia="Arial" w:hAnsi="Arial"/>
          <w:b/>
          <w:bCs/>
          <w:color w:val="1B1A2B"/>
          <w:sz w:val="23"/>
          <w:szCs w:val="23"/>
        </w:rPr>
        <w:t xml:space="preserve">Usage Data</w:t>
      </w:r>
    </w:p>
    <w:p>
      <w:pPr>
        <w:spacing w:after="120" w:line="300"/>
      </w:pPr>
      <w:r>
        <w:rPr>
          <w:rFonts w:ascii="Arial" w:cs="Arial" w:eastAsia="Arial" w:hAnsi="Arial"/>
          <w:color w:val="1B1A2B"/>
          <w:sz w:val="21"/>
          <w:szCs w:val="21"/>
        </w:rPr>
        <w:t xml:space="preserve">[VENDOR] periodically furnishes raw usage data — activity per user over a pre-determined period of time (typically a month) across the entities of the system — that [CLIENT_NAME_SHORT] can use and maintain directly for its own purposes; [VENDOR] offers perspectives on how to interpret and manipulate this data for different business or operational needs. Usage data is most effective when segmented and weighted according to the process workflows of each major type of user. [VENDOR] shares recommendations on how data might be segmented or interpreted, but it is ultimately [CLIENT_NAME_SHORT]'s determination how to process the raw data we provide. Based upon this data, [VENDOR] holds periodic (weekly and bi-weekly) conversations with the [CLIENT_NAME_SHORT] team about trends and recommendations from specific end-user segments. In turn, we jointly identify market sites or office locations that would benefit from in-person visits.</w:t>
      </w:r>
    </w:p>
    <w:p>
      <w:pPr>
        <w:pStyle w:val="Heading2"/>
        <w:spacing w:after="120" w:before="240"/>
      </w:pPr>
      <w:r>
        <w:rPr>
          <w:rFonts w:ascii="Arial" w:cs="Arial" w:eastAsia="Arial" w:hAnsi="Arial"/>
          <w:b/>
          <w:bCs/>
          <w:color w:val="1B1A2B"/>
          <w:sz w:val="23"/>
          <w:szCs w:val="23"/>
        </w:rPr>
        <w:t xml:space="preserve">Field Visits</w:t>
      </w:r>
    </w:p>
    <w:p>
      <w:pPr>
        <w:spacing w:after="120" w:line="300"/>
      </w:pPr>
      <w:r>
        <w:rPr>
          <w:rFonts w:ascii="Arial" w:cs="Arial" w:eastAsia="Arial" w:hAnsi="Arial"/>
          <w:color w:val="1B1A2B"/>
          <w:sz w:val="21"/>
          <w:szCs w:val="21"/>
        </w:rPr>
        <w:t xml:space="preserve">Based upon mutually agreed joint activities as outlined in the wave's Program Charter, [VENDOR] may undertake in-person visits to market sites or office locations, led by the Director of Professional Services and accompanied by Success Managers and subject-matter experts as required. Two types of visit are usually undertaken:</w:t>
      </w:r>
    </w:p>
    <w:p>
      <w:pPr>
        <w:pStyle w:val="ListParagraph"/>
        <w:numPr>
          <w:ilvl w:val="0"/>
          <w:numId w:val="8"/>
        </w:numPr>
        <w:spacing w:after="80" w:line="280"/>
      </w:pPr>
      <w:r>
        <w:rPr>
          <w:rFonts w:ascii="Arial" w:cs="Arial" w:eastAsia="Arial" w:hAnsi="Arial"/>
          <w:color w:val="1B1A2B"/>
          <w:sz w:val="21"/>
          <w:szCs w:val="21"/>
        </w:rPr>
        <w:t xml:space="preserve">An initial intake visit, where our team walks the floor, meets with end users, and holds an open forum for questions and answers and/or an observation session to determine how [VENDOR] is being used by end users in a production business environment; and</w:t>
      </w:r>
    </w:p>
    <w:p>
      <w:pPr>
        <w:pStyle w:val="ListParagraph"/>
        <w:numPr>
          <w:ilvl w:val="0"/>
          <w:numId w:val="8"/>
        </w:numPr>
        <w:spacing w:after="80" w:line="280"/>
      </w:pPr>
      <w:r>
        <w:rPr>
          <w:rFonts w:ascii="Arial" w:cs="Arial" w:eastAsia="Arial" w:hAnsi="Arial"/>
          <w:color w:val="1B1A2B"/>
          <w:sz w:val="21"/>
          <w:szCs w:val="21"/>
        </w:rPr>
        <w:t xml:space="preserve">Topical follow-up visits, where [VENDOR] specialists (such as subject-matter experts, product directors, and industry thought leaders) provide targeted, in-person delivery of service, training, and support for end users based upon what we have discovered.</w:t>
      </w:r>
    </w:p>
    <w:p>
      <w:pPr>
        <w:spacing w:after="120" w:line="300"/>
      </w:pPr>
      <w:r>
        <w:rPr>
          <w:rFonts w:ascii="Arial" w:cs="Arial" w:eastAsia="Arial" w:hAnsi="Arial"/>
          <w:color w:val="1B1A2B"/>
          <w:sz w:val="21"/>
          <w:szCs w:val="21"/>
        </w:rPr>
        <w:t xml:space="preserve">Field visits are typically a half-day per session. At the end of each visit, [VENDOR] shares captured notes and other documentation based on the charter's activity expectations. When a wave has completed its cycle, [VENDOR] delivers a summary document reporting back on evaluation of conditions on the ground, analysis of their impact, and recommendations. Our goal is not only to advance end-user productivity on the platform but also, more proactively, to optimize our client's business processes and overall efficiency.</w:t>
      </w:r>
    </w:p>
    <w:p>
      <w:pPr>
        <w:pStyle w:val="Heading2"/>
        <w:spacing w:after="120" w:before="240"/>
      </w:pPr>
      <w:r>
        <w:rPr>
          <w:rFonts w:ascii="Arial" w:cs="Arial" w:eastAsia="Arial" w:hAnsi="Arial"/>
          <w:b/>
          <w:bCs/>
          <w:color w:val="1B1A2B"/>
          <w:sz w:val="23"/>
          <w:szCs w:val="23"/>
        </w:rPr>
        <w:t xml:space="preserve">Wave Governance</w:t>
      </w:r>
    </w:p>
    <w:p>
      <w:pPr>
        <w:spacing w:after="120" w:line="300"/>
      </w:pPr>
      <w:r>
        <w:rPr>
          <w:rFonts w:ascii="Arial" w:cs="Arial" w:eastAsia="Arial" w:hAnsi="Arial"/>
          <w:color w:val="1B1A2B"/>
          <w:sz w:val="21"/>
          <w:szCs w:val="21"/>
        </w:rPr>
        <w:t xml:space="preserve">Program waves are organized into purpose-driven cycles whose target populations and, if applicable, market sites or field offices match specific criteria. [VENDOR] provides an initial recommendation of criteria along with example populations or offices, and [CLIENT_NAME_SHORT] in turn assists in the facilitation of alignment across the business. A typical wave is governed in the following steps:</w:t>
      </w:r>
    </w:p>
    <w:p>
      <w:pPr>
        <w:pStyle w:val="ListParagraph"/>
        <w:numPr>
          <w:ilvl w:val="0"/>
          <w:numId w:val="9"/>
        </w:numPr>
        <w:spacing w:after="80" w:line="280"/>
      </w:pPr>
      <w:r>
        <w:rPr>
          <w:rFonts w:ascii="Arial" w:cs="Arial" w:eastAsia="Arial" w:hAnsi="Arial"/>
          <w:color w:val="1B1A2B"/>
          <w:sz w:val="21"/>
          <w:szCs w:val="21"/>
        </w:rPr>
        <w:t xml:space="preserve">Usage Review — [VENDOR] delivers an initial recommendation based upon jointly observed usage data or, alternatively, advises on engaging a population to gather preliminary baseline data through observation.</w:t>
      </w:r>
    </w:p>
    <w:p>
      <w:pPr>
        <w:pStyle w:val="ListParagraph"/>
        <w:numPr>
          <w:ilvl w:val="0"/>
          <w:numId w:val="9"/>
        </w:numPr>
        <w:spacing w:after="80" w:line="280"/>
      </w:pPr>
      <w:r>
        <w:rPr>
          <w:rFonts w:ascii="Arial" w:cs="Arial" w:eastAsia="Arial" w:hAnsi="Arial"/>
          <w:color w:val="1B1A2B"/>
          <w:sz w:val="21"/>
          <w:szCs w:val="21"/>
        </w:rPr>
        <w:t xml:space="preserve">Operations Alignment — [CLIENT_NAME_SHORT] engages the relevant operating company or business unit and, if applicable, initiates an introduction to field site leadership; [VENDOR] coordinates logistics for any relevant activities.</w:t>
      </w:r>
    </w:p>
    <w:p>
      <w:pPr>
        <w:pStyle w:val="ListParagraph"/>
        <w:numPr>
          <w:ilvl w:val="0"/>
          <w:numId w:val="9"/>
        </w:numPr>
        <w:spacing w:after="80" w:line="280"/>
      </w:pPr>
      <w:r>
        <w:rPr>
          <w:rFonts w:ascii="Arial" w:cs="Arial" w:eastAsia="Arial" w:hAnsi="Arial"/>
          <w:color w:val="1B1A2B"/>
          <w:sz w:val="21"/>
          <w:szCs w:val="21"/>
        </w:rPr>
        <w:t xml:space="preserve">Program Charter Audit — [VENDOR] and [CLIENT_NAME_SHORT] examine the charter to ensure resource requirements are met for a productive engagement; a revised or re-executed charter or brief memo may be used to ensure clarity.</w:t>
      </w:r>
    </w:p>
    <w:p>
      <w:pPr>
        <w:pStyle w:val="ListParagraph"/>
        <w:numPr>
          <w:ilvl w:val="0"/>
          <w:numId w:val="9"/>
        </w:numPr>
        <w:spacing w:after="80" w:line="280"/>
      </w:pPr>
      <w:r>
        <w:rPr>
          <w:rFonts w:ascii="Arial" w:cs="Arial" w:eastAsia="Arial" w:hAnsi="Arial"/>
          <w:color w:val="1B1A2B"/>
          <w:sz w:val="21"/>
          <w:szCs w:val="21"/>
        </w:rPr>
        <w:t xml:space="preserve">Adoption Intake — [VENDOR] conducts an intake session using interactive modalities — in person, telephonic or virtual conferences, webinars, or round-table sessions — to validate observations and confirm needs assessments.</w:t>
      </w:r>
    </w:p>
    <w:p>
      <w:pPr>
        <w:pStyle w:val="ListParagraph"/>
        <w:numPr>
          <w:ilvl w:val="0"/>
          <w:numId w:val="9"/>
        </w:numPr>
        <w:spacing w:after="80" w:line="280"/>
      </w:pPr>
      <w:r>
        <w:rPr>
          <w:rFonts w:ascii="Arial" w:cs="Arial" w:eastAsia="Arial" w:hAnsi="Arial"/>
          <w:color w:val="1B1A2B"/>
          <w:sz w:val="21"/>
          <w:szCs w:val="21"/>
        </w:rPr>
        <w:t xml:space="preserve">Observation Deliverables — [VENDOR] shares observation deliverables with [CLIENT_NAME_SHORT] to provide a common knowledge base of gathered notes from end-user exchanges; these are used in producing final engagement activities.</w:t>
      </w:r>
    </w:p>
    <w:p>
      <w:pPr>
        <w:pStyle w:val="ListParagraph"/>
        <w:numPr>
          <w:ilvl w:val="0"/>
          <w:numId w:val="9"/>
        </w:numPr>
        <w:spacing w:after="80" w:line="280"/>
      </w:pPr>
      <w:r>
        <w:rPr>
          <w:rFonts w:ascii="Arial" w:cs="Arial" w:eastAsia="Arial" w:hAnsi="Arial"/>
          <w:color w:val="1B1A2B"/>
          <w:sz w:val="21"/>
          <w:szCs w:val="21"/>
        </w:rPr>
        <w:t xml:space="preserve">Adoption Engagement — [VENDOR] and [CLIENT_NAME_SHORT] re-engage selected end-user segments on specialized and targeted services and support to maximize efficiency, optimize workflows, and realize the benefits of the platform.</w:t>
      </w:r>
    </w:p>
    <w:sectPr>
      <w:headerReference w:type="default" r:id="rId6"/>
      <w:footerReference w:type="default" r:id="rId7"/>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rFonts w:ascii="Arial" w:cs="Arial" w:eastAsia="Arial" w:hAnsi="Arial"/>
        <w:color w:val="6E6C80"/>
        <w:sz w:val="15"/>
        <w:szCs w:val="15"/>
      </w:rPr>
      <w:t xml:space="preserve">Template from The Engagement Framework · juan.co/playbooks · © Juan.co LLC · Free to use with attribution.</w:t>
    </w:r>
    <w:r>
      <w:rPr>
        <w:rFonts w:ascii="Arial" w:cs="Arial" w:eastAsia="Arial" w:hAnsi="Arial"/>
        <w:color w:val="6E6C80"/>
        <w:sz w:val="15"/>
        <w:szCs w:val="15"/>
      </w:rPr>
      <w:t xml:space="preserve">	Page </w:t>
    </w:r>
    <w:r>
      <w:rPr>
        <w:rFonts w:ascii="Arial" w:cs="Arial" w:eastAsia="Arial" w:hAnsi="Arial"/>
        <w:color w:val="6E6C80"/>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EDBD2" w:sz="6" w:space="4"/>
      </w:pBdr>
      <w:jc w:val="center"/>
    </w:pPr>
    <w:r>
      <w:rPr>
        <w:rFonts w:ascii="Arial" w:cs="Arial" w:eastAsia="Arial" w:hAnsi="Arial"/>
        <w:b/>
        <w:bCs/>
        <w:color w:val="6E6C80"/>
        <w:sz w:val="17"/>
        <w:szCs w:val="17"/>
      </w:rPr>
      <w:t xml:space="preserve">[CLIENT_NAME_FULL] / [VENDOR] ENGAGEMENT FRAMEWORK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abstractNum>
  <w:abstractNum w:abstractNumId="3"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A2B"/>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Arial" w:cs="Arial" w:eastAsia="Arial" w:hAnsi="Arial"/>
      <w:b/>
      <w:bCs/>
      <w:color w:val="C63A26"/>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1B1A2B"/>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Engagement Framework — template</dc:title>
  <dc:creator>Juan.co LLC</dc:creator>
  <cp:lastModifiedBy>Un-named</cp:lastModifiedBy>
  <cp:revision>1</cp:revision>
  <dcterms:created xsi:type="dcterms:W3CDTF">2026-10-29T19:05:10.646Z</dcterms:created>
  <dcterms:modified xsi:type="dcterms:W3CDTF">2026-10-29T19:05:10.649Z</dcterms:modified>
</cp:coreProperties>
</file>

<file path=docProps/custom.xml><?xml version="1.0" encoding="utf-8"?>
<Properties xmlns="http://schemas.openxmlformats.org/officeDocument/2006/custom-properties" xmlns:vt="http://schemas.openxmlformats.org/officeDocument/2006/docPropsVTypes"/>
</file>